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footer3.xml" ContentType="application/vnd.openxmlformats-officedocument.wordprocessingml.footer+xml"/>
  <Override PartName="/word/footer1.xml" ContentType="application/vnd.openxmlformats-officedocument.wordprocessingml.footer+xml"/>
  <Override PartName="/word/styles.xml" ContentType="application/vnd.openxmlformats-officedocument.wordprocessingml.styles+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spacing w:before="400" w:after="260"/>
        <w:jc w:val="center"/>
        <w:rPr/>
      </w:pPr>
      <w:r>
        <w:rPr>
          <w:rFonts w:eastAsia="Times New Roman" w:cs="Times New Roman" w:ascii="Times New Roman" w:hAnsi="Times New Roman"/>
          <w:b/>
          <w:bCs/>
          <w:caps/>
          <w:sz w:val="28"/>
          <w:szCs w:val="28"/>
        </w:rPr>
        <w:t>CAPITOLUL 3 – ANALIZA ECONOMICO-FINANCIARĂ A ENTITĂȚII</w:t>
      </w:r>
    </w:p>
    <w:p>
      <w:pPr>
        <w:pStyle w:val="Normal"/>
        <w:spacing w:before="60" w:after="60"/>
        <w:rPr/>
      </w:pPr>
      <w:r>
        <w:rPr/>
      </w:r>
    </w:p>
    <w:p>
      <w:pPr>
        <w:pStyle w:val="Heading2"/>
        <w:spacing w:before="280" w:after="160"/>
        <w:jc w:val="start"/>
        <w:rPr/>
      </w:pPr>
      <w:r>
        <w:rPr>
          <w:rFonts w:eastAsia="Times New Roman" w:cs="Times New Roman" w:ascii="Times New Roman" w:hAnsi="Times New Roman"/>
          <w:b/>
          <w:bCs/>
          <w:sz w:val="26"/>
          <w:szCs w:val="26"/>
        </w:rPr>
        <w:t>3.1. Considerații introductive privind metodologia de analiză</w:t>
      </w:r>
    </w:p>
    <w:p>
      <w:pPr>
        <w:pStyle w:val="Normal"/>
        <w:spacing w:lineRule="auto" w:line="300" w:before="100" w:after="100"/>
        <w:ind w:firstLine="720"/>
        <w:rPr/>
      </w:pPr>
      <w:r>
        <w:rPr>
          <w:rFonts w:eastAsia="Times New Roman" w:cs="Times New Roman"/>
          <w:b w:val="false"/>
          <w:bCs w:val="false"/>
          <w:sz w:val="24"/>
          <w:szCs w:val="24"/>
        </w:rPr>
        <w:t>Diagnosticul economico-financiar constituie una dintre cele mai importante componente ale gestiunii moderne a oricărei entități economice. Prin intermediul său, conducerea poate evalua, pe baze cantitative și calitative, performanța activității desfășurate, eficiența utilizării resurselor disponibile și soliditatea poziției financiare la un moment dat. Spre deosebire de simpla lectură a situațiilor financiare, care furnizează o imagine statică a patrimoniului, analiza indicatorilor calculați pe doi ani consecutivi permite surprinderea dinamicii, cuantificarea tendințelor și fundamentarea deciziilor strategice.</w:t>
      </w:r>
    </w:p>
    <w:p>
      <w:pPr>
        <w:pStyle w:val="Normal"/>
        <w:spacing w:lineRule="auto" w:line="300" w:before="100" w:after="100"/>
        <w:ind w:firstLine="720"/>
        <w:rPr/>
      </w:pPr>
      <w:r>
        <w:rPr>
          <w:rFonts w:eastAsia="Times New Roman" w:cs="Times New Roman"/>
          <w:b w:val="false"/>
          <w:bCs w:val="false"/>
          <w:sz w:val="24"/>
          <w:szCs w:val="24"/>
        </w:rPr>
        <w:t>În cadrul prezentei lucrări, analiza economico-financiară se bazează pe datele extrase din bilanțul prescurtat (formularul F10) și din contul prescurtat de profit și pierdere (formularul F20), documente oficiale depuse la autoritățile fiscale competente pentru exercițiile financiare 2024 și 2025. Aceste surse primare și verificabile constituie baza exclusivă a tuturor calculelor prezentate, asigurând obiectivitatea și reproductibilitatea rezultatelor.</w:t>
      </w:r>
    </w:p>
    <w:p>
      <w:pPr>
        <w:pStyle w:val="Normal"/>
        <w:spacing w:lineRule="auto" w:line="300" w:before="100" w:after="100"/>
        <w:ind w:firstLine="720"/>
        <w:rPr/>
      </w:pPr>
      <w:r>
        <w:rPr>
          <w:rFonts w:eastAsia="Times New Roman" w:cs="Times New Roman"/>
          <w:b w:val="false"/>
          <w:bCs w:val="false"/>
          <w:sz w:val="24"/>
          <w:szCs w:val="24"/>
        </w:rPr>
        <w:t>Setul de indicatori utilizat acoperă cinci dimensiuni complementare ale performanței financiare: (1) rentabilitatea, care măsoară capacitatea entității de a genera profit; (2) lichiditatea, care reflectă capacitatea de plată a obligațiilor pe termen scurt; (3) solvabilitatea, care indică soliditatea financiară pe termen lung; (4) gestiunea activelor și a creanțelor, care evaluează eficiența operațională; și (5) echilibrul financiar structural, care analizează corespondența dintre sursele și utilizările de fonduri. Aceste cinci dimensiuni, abordate în subcapitolele următoare, furnizează împreună o imagine cuprinzătoare și coerentă a situației economico-financiare a entității.</w:t>
      </w:r>
    </w:p>
    <w:p>
      <w:pPr>
        <w:pStyle w:val="Normal"/>
        <w:spacing w:lineRule="auto" w:line="300" w:before="100" w:after="100"/>
        <w:ind w:firstLine="720"/>
        <w:rPr/>
      </w:pPr>
      <w:r>
        <w:rPr>
          <w:rFonts w:eastAsia="Times New Roman" w:cs="Times New Roman"/>
          <w:b w:val="false"/>
          <w:bCs w:val="false"/>
          <w:sz w:val="24"/>
          <w:szCs w:val="24"/>
        </w:rPr>
        <w:t>Metodologia adoptată urmărește nu doar calculul mecanic al indicatorilor, ci și interpretarea lor în context: fiecare valoare numerică este pusă în relație cu valorile de referință acceptate în literatura de specialitate, cu nivelul înregistrat în exercițiul anterior și cu specificul sectorului de activitate. Această abordare integrată permite formularea unor judecăți de valoare fundamentate și a unor recomandări acționale concrete, prezentate în capitolul de concluzii.</w:t>
      </w:r>
    </w:p>
    <w:p>
      <w:pPr>
        <w:pStyle w:val="Normal"/>
        <w:spacing w:before="60" w:after="60"/>
        <w:rPr/>
      </w:pPr>
      <w:r>
        <w:rPr/>
      </w:r>
    </w:p>
    <w:p>
      <w:pPr>
        <w:pStyle w:val="Heading2"/>
        <w:spacing w:before="280" w:after="160"/>
        <w:jc w:val="start"/>
        <w:rPr/>
      </w:pPr>
      <w:r>
        <w:rPr>
          <w:rFonts w:eastAsia="Times New Roman" w:cs="Times New Roman" w:ascii="Times New Roman" w:hAnsi="Times New Roman"/>
          <w:b/>
          <w:bCs/>
          <w:sz w:val="26"/>
          <w:szCs w:val="26"/>
        </w:rPr>
        <w:t>3.2. Analiza cifrei de afaceri și a dinamicii veniturilor</w:t>
      </w:r>
    </w:p>
    <w:p>
      <w:pPr>
        <w:pStyle w:val="Normal"/>
        <w:spacing w:lineRule="auto" w:line="300" w:before="100" w:after="100"/>
        <w:ind w:firstLine="720"/>
        <w:rPr/>
      </w:pPr>
      <w:r>
        <w:rPr>
          <w:rFonts w:eastAsia="Times New Roman" w:cs="Times New Roman"/>
          <w:b w:val="false"/>
          <w:bCs w:val="false"/>
          <w:sz w:val="24"/>
          <w:szCs w:val="24"/>
        </w:rPr>
        <w:t>Cifra de afaceri netă reprezintă cel mai important indicator de volum al activității unei entități, reflectând valoarea totală a serviciilor prestate sau a bunurilor vândute în cursul exercițiului financiar, exclusiv taxele și reducerile comerciale. Evoluția sa în timp constituie primul semnal privind traiectoria de creștere sau de contracție a activității.</w:t>
      </w:r>
    </w:p>
    <w:p>
      <w:pPr>
        <w:pStyle w:val="Normal"/>
        <w:spacing w:before="60" w:after="60"/>
        <w:rPr/>
      </w:pPr>
      <w:r>
        <w:rPr/>
      </w:r>
    </w:p>
    <w:tbl>
      <w:tblPr>
        <w:tblW w:w="9360" w:type="dxa"/>
        <w:jc w:val="start"/>
        <w:tblInd w:w="0" w:type="dxa"/>
        <w:tblLayout w:type="fixed"/>
        <w:tblCellMar>
          <w:top w:w="70" w:type="dxa"/>
          <w:start w:w="100" w:type="dxa"/>
          <w:bottom w:w="70" w:type="dxa"/>
          <w:end w:w="100" w:type="dxa"/>
        </w:tblCellMar>
      </w:tblPr>
      <w:tblGrid>
        <w:gridCol w:w="3599"/>
        <w:gridCol w:w="1700"/>
        <w:gridCol w:w="1701"/>
        <w:gridCol w:w="2360"/>
      </w:tblGrid>
      <w:tr>
        <w:trPr/>
        <w:tc>
          <w:tcPr>
            <w:tcW w:w="3599"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Indicator</w:t>
            </w:r>
          </w:p>
        </w:tc>
        <w:tc>
          <w:tcPr>
            <w:tcW w:w="1700"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2024 (lei)</w:t>
            </w:r>
          </w:p>
        </w:tc>
        <w:tc>
          <w:tcPr>
            <w:tcW w:w="1701"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2025 (lei)</w:t>
            </w:r>
          </w:p>
        </w:tc>
        <w:tc>
          <w:tcPr>
            <w:tcW w:w="2360"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Variație</w:t>
            </w:r>
          </w:p>
        </w:tc>
      </w:tr>
      <w:tr>
        <w:trPr/>
        <w:tc>
          <w:tcPr>
            <w:tcW w:w="35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Cifra de afaceri netă</w:t>
            </w:r>
          </w:p>
        </w:tc>
        <w:tc>
          <w:tcPr>
            <w:tcW w:w="17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2.158.144</w:t>
            </w:r>
          </w:p>
        </w:tc>
        <w:tc>
          <w:tcPr>
            <w:tcW w:w="170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2.543.426</w:t>
            </w:r>
          </w:p>
        </w:tc>
        <w:tc>
          <w:tcPr>
            <w:tcW w:w="236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+385.282 / +17,85%</w:t>
            </w:r>
          </w:p>
        </w:tc>
      </w:tr>
      <w:tr>
        <w:trPr/>
        <w:tc>
          <w:tcPr>
            <w:tcW w:w="35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Alte venituri din exploatare</w:t>
            </w:r>
          </w:p>
        </w:tc>
        <w:tc>
          <w:tcPr>
            <w:tcW w:w="17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149.188</w:t>
            </w:r>
          </w:p>
        </w:tc>
        <w:tc>
          <w:tcPr>
            <w:tcW w:w="170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115.726</w:t>
            </w:r>
          </w:p>
        </w:tc>
        <w:tc>
          <w:tcPr>
            <w:tcW w:w="236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r>
              <w:rPr>
                <w:rFonts w:eastAsia="Times New Roman" w:cs="Times New Roman"/>
                <w:b w:val="false"/>
                <w:bCs w:val="false"/>
                <w:sz w:val="20"/>
                <w:szCs w:val="20"/>
              </w:rPr>
              <w:t>33.462 / –22,43%</w:t>
            </w:r>
          </w:p>
        </w:tc>
      </w:tr>
      <w:tr>
        <w:trPr/>
        <w:tc>
          <w:tcPr>
            <w:tcW w:w="35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Total venituri din exploatare</w:t>
            </w:r>
          </w:p>
        </w:tc>
        <w:tc>
          <w:tcPr>
            <w:tcW w:w="17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2.307.332</w:t>
            </w:r>
          </w:p>
        </w:tc>
        <w:tc>
          <w:tcPr>
            <w:tcW w:w="170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2.659.152</w:t>
            </w:r>
          </w:p>
        </w:tc>
        <w:tc>
          <w:tcPr>
            <w:tcW w:w="236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+351.820 / +15,25%</w:t>
            </w:r>
          </w:p>
        </w:tc>
      </w:tr>
    </w:tbl>
    <w:p>
      <w:pPr>
        <w:pStyle w:val="Normal"/>
        <w:spacing w:before="80" w:after="200"/>
        <w:jc w:val="start"/>
        <w:rPr/>
      </w:pPr>
      <w:r>
        <w:rPr>
          <w:rFonts w:eastAsia="Times New Roman" w:cs="Times New Roman"/>
          <w:sz w:val="18"/>
          <w:szCs w:val="18"/>
        </w:rPr>
        <w:t>Tabelul 3.1. Dinamica cifrei de afaceri și a veniturilor, exercițiile 2024–2025. Sursa: F20.</w:t>
      </w:r>
    </w:p>
    <w:p>
      <w:pPr>
        <w:pStyle w:val="Normal"/>
        <w:spacing w:before="60" w:after="60"/>
        <w:rPr/>
      </w:pPr>
      <w:r>
        <w:rPr/>
      </w:r>
    </w:p>
    <w:p>
      <w:pPr>
        <w:pStyle w:val="Normal"/>
        <w:spacing w:lineRule="auto" w:line="300" w:before="100" w:after="100"/>
        <w:ind w:firstLine="720"/>
        <w:rPr/>
      </w:pPr>
      <w:r>
        <w:rPr>
          <w:rFonts w:eastAsia="Times New Roman" w:cs="Times New Roman"/>
          <w:b w:val="false"/>
          <w:bCs w:val="false"/>
          <w:sz w:val="24"/>
          <w:szCs w:val="24"/>
        </w:rPr>
        <w:t>Cifra de afaceri netă a crescut cu 385.282 lei în 2025 față de 2024, reprezentând un ritm de creștere de 17,85%. Această creștere semnificativă depășește rata inflației înregistrată în România în aceeași perioadă și indică o expansiune reală a activității, fie prin atragerea de noi clienți, fie prin majorarea prețurilor de vânzare, fie printr-o combinație a celor două. Indiferent de cauzele exacte – care ar necesita o analiză la nivel de portofoliu de clienți –, direcția este favorabilă.</w:t>
      </w:r>
    </w:p>
    <w:p>
      <w:pPr>
        <w:pStyle w:val="Normal"/>
        <w:spacing w:lineRule="auto" w:line="300" w:before="100" w:after="100"/>
        <w:ind w:firstLine="720"/>
        <w:rPr/>
      </w:pPr>
      <w:r>
        <w:rPr>
          <w:rFonts w:eastAsia="Times New Roman" w:cs="Times New Roman"/>
          <w:b w:val="false"/>
          <w:bCs w:val="false"/>
          <w:sz w:val="24"/>
          <w:szCs w:val="24"/>
        </w:rPr>
        <w:t>Celelalte venituri din exploatare au înregistrat, în schimb, o scădere de 22,43%, de la 149.188 lei la 115.726 lei. Această evoluție poate reflecta reducerea veniturilor din subvenții, din cesiunea de active sau din alte surse atipice activității curente. Deși în termeni absoluți scăderea este modestă (33.462 lei), ea temperează ușor creșterea veniturilor totale.</w:t>
      </w:r>
    </w:p>
    <w:p>
      <w:pPr>
        <w:pStyle w:val="Normal"/>
        <w:spacing w:lineRule="auto" w:line="300" w:before="100" w:after="100"/>
        <w:ind w:firstLine="720"/>
        <w:rPr/>
      </w:pPr>
      <w:r>
        <w:rPr>
          <w:rFonts w:eastAsia="Times New Roman" w:cs="Times New Roman"/>
          <w:b w:val="false"/>
          <w:bCs w:val="false"/>
          <w:sz w:val="24"/>
          <w:szCs w:val="24"/>
        </w:rPr>
        <w:t>Tabloul de ansamblu al veniturilor este, totuși, pozitiv: totalul veniturilor din exploatare a crescut cu 15,25%, de la 2.307.332 lei la 2.659.152 lei, confirming că expansiunea cifrei de afaceri domină structura de venituri și determină tendința generală.</w:t>
      </w:r>
    </w:p>
    <w:p>
      <w:pPr>
        <w:pStyle w:val="Normal"/>
        <w:spacing w:before="60" w:after="60"/>
        <w:rPr/>
      </w:pPr>
      <w:r>
        <w:rPr/>
      </w:r>
    </w:p>
    <w:p>
      <w:pPr>
        <w:pStyle w:val="Heading2"/>
        <w:spacing w:before="280" w:after="160"/>
        <w:jc w:val="start"/>
        <w:rPr/>
      </w:pPr>
      <w:r>
        <w:rPr>
          <w:rFonts w:eastAsia="Times New Roman" w:cs="Times New Roman" w:ascii="Times New Roman" w:hAnsi="Times New Roman"/>
          <w:b/>
          <w:bCs/>
          <w:sz w:val="26"/>
          <w:szCs w:val="26"/>
        </w:rPr>
        <w:t>3.3. Analiza cheltuielilor și a structurii costurilor</w:t>
      </w:r>
    </w:p>
    <w:p>
      <w:pPr>
        <w:pStyle w:val="Normal"/>
        <w:spacing w:lineRule="auto" w:line="300" w:before="100" w:after="100"/>
        <w:ind w:firstLine="720"/>
        <w:rPr/>
      </w:pPr>
      <w:r>
        <w:rPr>
          <w:rFonts w:eastAsia="Times New Roman" w:cs="Times New Roman"/>
          <w:b w:val="false"/>
          <w:bCs w:val="false"/>
          <w:sz w:val="24"/>
          <w:szCs w:val="24"/>
        </w:rPr>
        <w:t>Analiza cheltuielilor completează imaginea despre performanță, furnizând informații esențiale privind eficiența utilizării resurselor și controlul costurilor. O creștere a veniturilor nu se traduce automat în îmbunătățirea profitabilității dacă este însoțită de o creștere proporțională sau superioară a cheltuielilor.</w:t>
      </w:r>
    </w:p>
    <w:p>
      <w:pPr>
        <w:pStyle w:val="Normal"/>
        <w:spacing w:before="60" w:after="60"/>
        <w:rPr/>
      </w:pPr>
      <w:r>
        <w:rPr/>
      </w:r>
    </w:p>
    <w:tbl>
      <w:tblPr>
        <w:tblW w:w="9360" w:type="dxa"/>
        <w:jc w:val="start"/>
        <w:tblInd w:w="0" w:type="dxa"/>
        <w:tblLayout w:type="fixed"/>
        <w:tblCellMar>
          <w:top w:w="70" w:type="dxa"/>
          <w:start w:w="100" w:type="dxa"/>
          <w:bottom w:w="70" w:type="dxa"/>
          <w:end w:w="100" w:type="dxa"/>
        </w:tblCellMar>
      </w:tblPr>
      <w:tblGrid>
        <w:gridCol w:w="3200"/>
        <w:gridCol w:w="1599"/>
        <w:gridCol w:w="1601"/>
        <w:gridCol w:w="1599"/>
        <w:gridCol w:w="1361"/>
      </w:tblGrid>
      <w:tr>
        <w:trPr/>
        <w:tc>
          <w:tcPr>
            <w:tcW w:w="3200"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Categorie cheltuieli</w:t>
            </w:r>
          </w:p>
        </w:tc>
        <w:tc>
          <w:tcPr>
            <w:tcW w:w="1599"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2024 (lei)</w:t>
            </w:r>
          </w:p>
        </w:tc>
        <w:tc>
          <w:tcPr>
            <w:tcW w:w="1601"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2025 (lei)</w:t>
            </w:r>
          </w:p>
        </w:tc>
        <w:tc>
          <w:tcPr>
            <w:tcW w:w="1599"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Var. abs.</w:t>
            </w:r>
          </w:p>
        </w:tc>
        <w:tc>
          <w:tcPr>
            <w:tcW w:w="1361"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Var. %</w:t>
            </w:r>
          </w:p>
        </w:tc>
      </w:tr>
      <w:tr>
        <w:trPr/>
        <w:tc>
          <w:tcPr>
            <w:tcW w:w="32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Costul mat. prime și consumabilelor</w:t>
            </w:r>
          </w:p>
        </w:tc>
        <w:tc>
          <w:tcPr>
            <w:tcW w:w="15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200.684</w:t>
            </w:r>
          </w:p>
        </w:tc>
        <w:tc>
          <w:tcPr>
            <w:tcW w:w="160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106.834</w:t>
            </w:r>
          </w:p>
        </w:tc>
        <w:tc>
          <w:tcPr>
            <w:tcW w:w="15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r>
              <w:rPr>
                <w:rFonts w:eastAsia="Times New Roman" w:cs="Times New Roman"/>
                <w:b w:val="false"/>
                <w:bCs w:val="false"/>
                <w:sz w:val="20"/>
                <w:szCs w:val="20"/>
              </w:rPr>
              <w:t>93.850</w:t>
            </w:r>
          </w:p>
        </w:tc>
        <w:tc>
          <w:tcPr>
            <w:tcW w:w="136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r>
              <w:rPr>
                <w:rFonts w:eastAsia="Times New Roman" w:cs="Times New Roman"/>
                <w:b w:val="false"/>
                <w:bCs w:val="false"/>
                <w:sz w:val="20"/>
                <w:szCs w:val="20"/>
              </w:rPr>
              <w:t>46,77%</w:t>
            </w:r>
          </w:p>
        </w:tc>
      </w:tr>
      <w:tr>
        <w:trPr/>
        <w:tc>
          <w:tcPr>
            <w:tcW w:w="32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Cheltuieli cu personalul</w:t>
            </w:r>
          </w:p>
        </w:tc>
        <w:tc>
          <w:tcPr>
            <w:tcW w:w="15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646.791</w:t>
            </w:r>
          </w:p>
        </w:tc>
        <w:tc>
          <w:tcPr>
            <w:tcW w:w="160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783.215</w:t>
            </w:r>
          </w:p>
        </w:tc>
        <w:tc>
          <w:tcPr>
            <w:tcW w:w="15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+136.424</w:t>
            </w:r>
          </w:p>
        </w:tc>
        <w:tc>
          <w:tcPr>
            <w:tcW w:w="136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+21,10%</w:t>
            </w:r>
          </w:p>
        </w:tc>
      </w:tr>
      <w:tr>
        <w:trPr/>
        <w:tc>
          <w:tcPr>
            <w:tcW w:w="32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Ajustări de valoare (amortizări)</w:t>
            </w:r>
          </w:p>
        </w:tc>
        <w:tc>
          <w:tcPr>
            <w:tcW w:w="15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190.722</w:t>
            </w:r>
          </w:p>
        </w:tc>
        <w:tc>
          <w:tcPr>
            <w:tcW w:w="160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188.793</w:t>
            </w:r>
          </w:p>
        </w:tc>
        <w:tc>
          <w:tcPr>
            <w:tcW w:w="15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r>
              <w:rPr>
                <w:rFonts w:eastAsia="Times New Roman" w:cs="Times New Roman"/>
                <w:b w:val="false"/>
                <w:bCs w:val="false"/>
                <w:sz w:val="20"/>
                <w:szCs w:val="20"/>
              </w:rPr>
              <w:t>1.929</w:t>
            </w:r>
          </w:p>
        </w:tc>
        <w:tc>
          <w:tcPr>
            <w:tcW w:w="136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r>
              <w:rPr>
                <w:rFonts w:eastAsia="Times New Roman" w:cs="Times New Roman"/>
                <w:b w:val="false"/>
                <w:bCs w:val="false"/>
                <w:sz w:val="20"/>
                <w:szCs w:val="20"/>
              </w:rPr>
              <w:t>1,01%</w:t>
            </w:r>
          </w:p>
        </w:tc>
      </w:tr>
      <w:tr>
        <w:trPr/>
        <w:tc>
          <w:tcPr>
            <w:tcW w:w="32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Alte cheltuieli de exploatare</w:t>
            </w:r>
          </w:p>
        </w:tc>
        <w:tc>
          <w:tcPr>
            <w:tcW w:w="15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1.249.780</w:t>
            </w:r>
          </w:p>
        </w:tc>
        <w:tc>
          <w:tcPr>
            <w:tcW w:w="160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1.464.342</w:t>
            </w:r>
          </w:p>
        </w:tc>
        <w:tc>
          <w:tcPr>
            <w:tcW w:w="15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+214.562</w:t>
            </w:r>
          </w:p>
        </w:tc>
        <w:tc>
          <w:tcPr>
            <w:tcW w:w="136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+17,17%</w:t>
            </w:r>
          </w:p>
        </w:tc>
      </w:tr>
      <w:tr>
        <w:trPr/>
        <w:tc>
          <w:tcPr>
            <w:tcW w:w="32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Impozite și taxe</w:t>
            </w:r>
          </w:p>
        </w:tc>
        <w:tc>
          <w:tcPr>
            <w:tcW w:w="15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62.066</w:t>
            </w:r>
          </w:p>
        </w:tc>
        <w:tc>
          <w:tcPr>
            <w:tcW w:w="160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34.114</w:t>
            </w:r>
          </w:p>
        </w:tc>
        <w:tc>
          <w:tcPr>
            <w:tcW w:w="15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r>
              <w:rPr>
                <w:rFonts w:eastAsia="Times New Roman" w:cs="Times New Roman"/>
                <w:b w:val="false"/>
                <w:bCs w:val="false"/>
                <w:sz w:val="20"/>
                <w:szCs w:val="20"/>
              </w:rPr>
              <w:t>27.952</w:t>
            </w:r>
          </w:p>
        </w:tc>
        <w:tc>
          <w:tcPr>
            <w:tcW w:w="136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r>
              <w:rPr>
                <w:rFonts w:eastAsia="Times New Roman" w:cs="Times New Roman"/>
                <w:b w:val="false"/>
                <w:bCs w:val="false"/>
                <w:sz w:val="20"/>
                <w:szCs w:val="20"/>
              </w:rPr>
              <w:t>45,04%</w:t>
            </w:r>
          </w:p>
        </w:tc>
      </w:tr>
      <w:tr>
        <w:trPr/>
        <w:tc>
          <w:tcPr>
            <w:tcW w:w="32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bCs/>
                <w:sz w:val="20"/>
                <w:szCs w:val="20"/>
              </w:rPr>
              <w:t>Total cheltuieli</w:t>
            </w:r>
          </w:p>
        </w:tc>
        <w:tc>
          <w:tcPr>
            <w:tcW w:w="15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bCs/>
                <w:sz w:val="20"/>
                <w:szCs w:val="20"/>
              </w:rPr>
              <w:t>2.350.043</w:t>
            </w:r>
          </w:p>
        </w:tc>
        <w:tc>
          <w:tcPr>
            <w:tcW w:w="160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bCs/>
                <w:sz w:val="20"/>
                <w:szCs w:val="20"/>
              </w:rPr>
              <w:t>2.577.298</w:t>
            </w:r>
          </w:p>
        </w:tc>
        <w:tc>
          <w:tcPr>
            <w:tcW w:w="15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bCs/>
                <w:sz w:val="20"/>
                <w:szCs w:val="20"/>
              </w:rPr>
              <w:t>+227.255</w:t>
            </w:r>
          </w:p>
        </w:tc>
        <w:tc>
          <w:tcPr>
            <w:tcW w:w="136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bCs/>
                <w:sz w:val="20"/>
                <w:szCs w:val="20"/>
              </w:rPr>
              <w:t>+9,67%</w:t>
            </w:r>
          </w:p>
        </w:tc>
      </w:tr>
    </w:tbl>
    <w:p>
      <w:pPr>
        <w:pStyle w:val="Normal"/>
        <w:spacing w:before="80" w:after="200"/>
        <w:jc w:val="start"/>
        <w:rPr/>
      </w:pPr>
      <w:r>
        <w:rPr>
          <w:rFonts w:eastAsia="Times New Roman" w:cs="Times New Roman"/>
          <w:sz w:val="18"/>
          <w:szCs w:val="18"/>
        </w:rPr>
        <w:t>Tabelul 3.2. Structura și dinamica cheltuielilor de exploatare, exercițiile 2024–2025. Sursa: F20.</w:t>
      </w:r>
    </w:p>
    <w:p>
      <w:pPr>
        <w:pStyle w:val="Normal"/>
        <w:spacing w:before="60" w:after="60"/>
        <w:rPr/>
      </w:pPr>
      <w:r>
        <w:rPr/>
      </w:r>
    </w:p>
    <w:p>
      <w:pPr>
        <w:pStyle w:val="Normal"/>
        <w:spacing w:lineRule="auto" w:line="300" w:before="100" w:after="100"/>
        <w:ind w:firstLine="720"/>
        <w:rPr/>
      </w:pPr>
      <w:r>
        <w:rPr>
          <w:rFonts w:eastAsia="Times New Roman" w:cs="Times New Roman"/>
          <w:b w:val="false"/>
          <w:bCs w:val="false"/>
          <w:sz w:val="24"/>
          <w:szCs w:val="24"/>
        </w:rPr>
        <w:t>Totalul cheltuielilor a crescut cu 9,67%, într-un ritm semnificativ inferior creșterii cifrei de afaceri (+17,85%). Aceasta reprezintă un semn clar de eficientizare operațională: entitatea a reușit să genereze mai multe venituri fără o creștere proporțională a costurilor, îmbunătățind astfel efectul de levier operațional.</w:t>
      </w:r>
    </w:p>
    <w:p>
      <w:pPr>
        <w:pStyle w:val="Normal"/>
        <w:spacing w:lineRule="auto" w:line="300" w:before="100" w:after="100"/>
        <w:ind w:firstLine="720"/>
        <w:rPr/>
      </w:pPr>
      <w:r>
        <w:rPr>
          <w:rFonts w:eastAsia="Times New Roman" w:cs="Times New Roman"/>
          <w:b w:val="false"/>
          <w:bCs w:val="false"/>
          <w:sz w:val="24"/>
          <w:szCs w:val="24"/>
        </w:rPr>
        <w:t>Reducerea costurilor cu materiile prime și consumabilele cu 46,77% – de la 200.684 lei la 106.834 lei – este cel mai semnificativ element favorabil din structura cheltuielilor. Aceasta poate fi rezultatul renegocierii contractelor cu furnizorii, optimizării proceselor de aprovizionare sau reducerii risipei de materiale.</w:t>
      </w:r>
    </w:p>
    <w:p>
      <w:pPr>
        <w:pStyle w:val="Normal"/>
        <w:spacing w:lineRule="auto" w:line="300" w:before="100" w:after="100"/>
        <w:ind w:firstLine="720"/>
        <w:rPr/>
      </w:pPr>
      <w:r>
        <w:rPr>
          <w:rFonts w:eastAsia="Times New Roman" w:cs="Times New Roman"/>
          <w:b w:val="false"/>
          <w:bCs w:val="false"/>
          <w:sz w:val="24"/>
          <w:szCs w:val="24"/>
        </w:rPr>
        <w:t>Cheltuielile cu personalul au înregistrat o creștere de 21,10%, de la 646.791 lei la 783.215 lei. Această evoluție – superioară ritmului de creștere al veniturilor – necesită monitorizare atentă. Creșterile salariale sau angajările noi pot fi justificate de extinderea activității, însă trebuie corelate permanent cu evoluția productivității muncii.</w:t>
      </w:r>
    </w:p>
    <w:p>
      <w:pPr>
        <w:pStyle w:val="Normal"/>
        <w:spacing w:lineRule="auto" w:line="300" w:before="100" w:after="100"/>
        <w:ind w:firstLine="720"/>
        <w:rPr/>
      </w:pPr>
      <w:r>
        <w:rPr>
          <w:rFonts w:eastAsia="Times New Roman" w:cs="Times New Roman"/>
          <w:b w:val="false"/>
          <w:bCs w:val="false"/>
          <w:sz w:val="24"/>
          <w:szCs w:val="24"/>
        </w:rPr>
        <w:t>Alte cheltuieli de exploatare au crescut cu 17,17%, aproximativ în ritm cu veniturile, ceea ce indică o structură de costuri relativ variabilă în raport cu activitatea. Reducerea impozitelor și taxelor cu 45,04% contribuie pozitiv la rezultatul final.</w:t>
      </w:r>
    </w:p>
    <w:p>
      <w:pPr>
        <w:pStyle w:val="Normal"/>
        <w:spacing w:before="60" w:after="60"/>
        <w:rPr/>
      </w:pPr>
      <w:r>
        <w:rPr/>
      </w:r>
    </w:p>
    <w:p>
      <w:pPr>
        <w:pStyle w:val="Heading2"/>
        <w:spacing w:before="280" w:after="160"/>
        <w:jc w:val="start"/>
        <w:rPr/>
      </w:pPr>
      <w:r>
        <w:rPr>
          <w:rFonts w:eastAsia="Times New Roman" w:cs="Times New Roman" w:ascii="Times New Roman" w:hAnsi="Times New Roman"/>
          <w:b/>
          <w:bCs/>
          <w:sz w:val="26"/>
          <w:szCs w:val="26"/>
        </w:rPr>
        <w:t>3.4. Analiza rezultatelor financiare</w:t>
      </w:r>
    </w:p>
    <w:p>
      <w:pPr>
        <w:pStyle w:val="Normal"/>
        <w:spacing w:lineRule="auto" w:line="300" w:before="100" w:after="100"/>
        <w:ind w:firstLine="720"/>
        <w:rPr/>
      </w:pPr>
      <w:r>
        <w:rPr>
          <w:rFonts w:eastAsia="Times New Roman" w:cs="Times New Roman"/>
          <w:b w:val="false"/>
          <w:bCs w:val="false"/>
          <w:sz w:val="24"/>
          <w:szCs w:val="24"/>
        </w:rPr>
        <w:t>Rezultatul exercițiului financiar reprezintă indicatorul sintetic al performanței, cuantificând diferența dintre totalul veniturilor și totalul cheltuielilor, inclusiv impozitele aferente. Evoluția sa de la un an la altul reflectă traiectoria economică a entității.</w:t>
      </w:r>
    </w:p>
    <w:p>
      <w:pPr>
        <w:pStyle w:val="Normal"/>
        <w:spacing w:before="60" w:after="60"/>
        <w:rPr/>
      </w:pPr>
      <w:r>
        <w:rPr/>
      </w:r>
    </w:p>
    <w:tbl>
      <w:tblPr>
        <w:tblW w:w="9360" w:type="dxa"/>
        <w:jc w:val="start"/>
        <w:tblInd w:w="0" w:type="dxa"/>
        <w:tblLayout w:type="fixed"/>
        <w:tblCellMar>
          <w:top w:w="70" w:type="dxa"/>
          <w:start w:w="100" w:type="dxa"/>
          <w:bottom w:w="70" w:type="dxa"/>
          <w:end w:w="100" w:type="dxa"/>
        </w:tblCellMar>
      </w:tblPr>
      <w:tblGrid>
        <w:gridCol w:w="3599"/>
        <w:gridCol w:w="1800"/>
        <w:gridCol w:w="1800"/>
        <w:gridCol w:w="2161"/>
      </w:tblGrid>
      <w:tr>
        <w:trPr/>
        <w:tc>
          <w:tcPr>
            <w:tcW w:w="3599"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Indicator</w:t>
            </w:r>
          </w:p>
        </w:tc>
        <w:tc>
          <w:tcPr>
            <w:tcW w:w="1800"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2024 (lei)</w:t>
            </w:r>
          </w:p>
        </w:tc>
        <w:tc>
          <w:tcPr>
            <w:tcW w:w="1800"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2025 (lei)</w:t>
            </w:r>
          </w:p>
        </w:tc>
        <w:tc>
          <w:tcPr>
            <w:tcW w:w="2161"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Observație</w:t>
            </w:r>
          </w:p>
        </w:tc>
      </w:tr>
      <w:tr>
        <w:trPr/>
        <w:tc>
          <w:tcPr>
            <w:tcW w:w="35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Profit brut (înainte de impozit)</w:t>
            </w:r>
          </w:p>
        </w:tc>
        <w:tc>
          <w:tcPr>
            <w:tcW w:w="18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19.355</w:t>
            </w:r>
          </w:p>
        </w:tc>
        <w:tc>
          <w:tcPr>
            <w:tcW w:w="18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115.968</w:t>
            </w:r>
          </w:p>
        </w:tc>
        <w:tc>
          <w:tcPr>
            <w:tcW w:w="216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Inversare radicală</w:t>
            </w:r>
          </w:p>
        </w:tc>
      </w:tr>
      <w:tr>
        <w:trPr/>
        <w:tc>
          <w:tcPr>
            <w:tcW w:w="35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bCs/>
                <w:sz w:val="20"/>
                <w:szCs w:val="20"/>
              </w:rPr>
              <w:t>Profit net / (Pierdere netă)</w:t>
            </w:r>
          </w:p>
        </w:tc>
        <w:tc>
          <w:tcPr>
            <w:tcW w:w="18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bCs/>
                <w:sz w:val="20"/>
                <w:szCs w:val="20"/>
              </w:rPr>
              <w:t>(–42.711)</w:t>
            </w:r>
          </w:p>
        </w:tc>
        <w:tc>
          <w:tcPr>
            <w:tcW w:w="18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bCs/>
                <w:sz w:val="20"/>
                <w:szCs w:val="20"/>
              </w:rPr>
              <w:t>81.854</w:t>
            </w:r>
          </w:p>
        </w:tc>
        <w:tc>
          <w:tcPr>
            <w:tcW w:w="216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Redresare confirmată</w:t>
            </w:r>
          </w:p>
        </w:tc>
      </w:tr>
      <w:tr>
        <w:trPr/>
        <w:tc>
          <w:tcPr>
            <w:tcW w:w="35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Rata de impozitare efectivă</w:t>
            </w:r>
          </w:p>
        </w:tc>
        <w:tc>
          <w:tcPr>
            <w:tcW w:w="18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p>
        </w:tc>
        <w:tc>
          <w:tcPr>
            <w:tcW w:w="18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29,2%</w:t>
            </w:r>
          </w:p>
        </w:tc>
        <w:tc>
          <w:tcPr>
            <w:tcW w:w="216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Normal conform legislației</w:t>
            </w:r>
          </w:p>
        </w:tc>
      </w:tr>
    </w:tbl>
    <w:p>
      <w:pPr>
        <w:pStyle w:val="Normal"/>
        <w:spacing w:before="80" w:after="200"/>
        <w:jc w:val="start"/>
        <w:rPr/>
      </w:pPr>
      <w:r>
        <w:rPr>
          <w:rFonts w:eastAsia="Times New Roman" w:cs="Times New Roman"/>
          <w:sz w:val="18"/>
          <w:szCs w:val="18"/>
        </w:rPr>
        <w:t>Tabelul 3.3. Rezultatele financiare comparate, exercițiile 2024–2025. Sursa: F20.</w:t>
      </w:r>
    </w:p>
    <w:p>
      <w:pPr>
        <w:pStyle w:val="Normal"/>
        <w:spacing w:before="60" w:after="60"/>
        <w:rPr/>
      </w:pPr>
      <w:r>
        <w:rPr/>
      </w:r>
    </w:p>
    <w:p>
      <w:pPr>
        <w:pStyle w:val="Normal"/>
        <w:spacing w:lineRule="auto" w:line="300" w:before="100" w:after="100"/>
        <w:ind w:firstLine="720"/>
        <w:rPr/>
      </w:pPr>
      <w:r>
        <w:rPr>
          <w:rFonts w:eastAsia="Times New Roman" w:cs="Times New Roman"/>
          <w:b w:val="false"/>
          <w:bCs w:val="false"/>
          <w:sz w:val="24"/>
          <w:szCs w:val="24"/>
        </w:rPr>
        <w:t>Transformarea unei pierderi nete de 42.711 lei în 2024 într-un profit net de 81.854 lei în 2025 reprezintă cea mai semnificativă schimbare înregistrată în analiza celor două exerciții financiare. Această inversare – care se ridică la 124.565 lei diferență – este rezultatul combinat al creșterii substanțiale a cifrei de afaceri și al creșterii mai lente a cheltuielilor totale.</w:t>
      </w:r>
    </w:p>
    <w:p>
      <w:pPr>
        <w:pStyle w:val="Normal"/>
        <w:spacing w:lineRule="auto" w:line="300" w:before="100" w:after="100"/>
        <w:ind w:firstLine="720"/>
        <w:rPr/>
      </w:pPr>
      <w:r>
        <w:rPr>
          <w:rFonts w:eastAsia="Times New Roman" w:cs="Times New Roman"/>
          <w:b w:val="false"/>
          <w:bCs w:val="false"/>
          <w:sz w:val="24"/>
          <w:szCs w:val="24"/>
        </w:rPr>
        <w:t>Profitul brut – calculat înaintea impozitului – a crescut de la 19.355 lei la 115.968 lei, o majorare de aproape 500%. Aceasta confirmă că redresarea este autentică și nu este rezultatul unor ajustări contabile sau al tratamentelor fiscale favorabile. Rata de impozitare efectivă de 29,2% se situează în parametrii normali conform legislației fiscale românești.</w:t>
      </w:r>
    </w:p>
    <w:p>
      <w:pPr>
        <w:pStyle w:val="Normal"/>
        <w:spacing w:before="60" w:after="60"/>
        <w:rPr/>
      </w:pPr>
      <w:r>
        <w:rPr/>
      </w:r>
    </w:p>
    <w:p>
      <w:pPr>
        <w:pStyle w:val="Heading2"/>
        <w:spacing w:before="280" w:after="160"/>
        <w:jc w:val="start"/>
        <w:rPr/>
      </w:pPr>
      <w:r>
        <w:rPr>
          <w:rFonts w:eastAsia="Times New Roman" w:cs="Times New Roman" w:ascii="Times New Roman" w:hAnsi="Times New Roman"/>
          <w:b/>
          <w:bCs/>
          <w:sz w:val="26"/>
          <w:szCs w:val="26"/>
        </w:rPr>
        <w:t>3.5. Indicatori de rentabilitate</w:t>
      </w:r>
    </w:p>
    <w:p>
      <w:pPr>
        <w:pStyle w:val="Normal"/>
        <w:spacing w:lineRule="auto" w:line="300" w:before="100" w:after="100"/>
        <w:ind w:firstLine="720"/>
        <w:rPr/>
      </w:pPr>
      <w:r>
        <w:rPr>
          <w:rFonts w:eastAsia="Times New Roman" w:cs="Times New Roman"/>
          <w:b w:val="false"/>
          <w:bCs w:val="false"/>
          <w:sz w:val="24"/>
          <w:szCs w:val="24"/>
        </w:rPr>
        <w:t>Indicatorii de rentabilitate măsoară capacitatea entității de a genera profit în raport cu diferite baze de referință: cifra de afaceri, activele totale sau capitalurile proprii. Aceștia constituie instrumentele principale de evaluare a eficienței economice.</w:t>
      </w:r>
    </w:p>
    <w:p>
      <w:pPr>
        <w:pStyle w:val="Normal"/>
        <w:spacing w:before="60" w:after="60"/>
        <w:rPr/>
      </w:pPr>
      <w:r>
        <w:rPr/>
      </w:r>
    </w:p>
    <w:p>
      <w:pPr>
        <w:pStyle w:val="Heading3"/>
        <w:spacing w:before="220" w:after="120"/>
        <w:jc w:val="start"/>
        <w:rPr/>
      </w:pPr>
      <w:r>
        <w:rPr>
          <w:rFonts w:eastAsia="Times New Roman" w:cs="Times New Roman" w:ascii="Times New Roman" w:hAnsi="Times New Roman"/>
          <w:b/>
          <w:bCs/>
          <w:sz w:val="24"/>
          <w:szCs w:val="24"/>
        </w:rPr>
        <w:t>3.5.1. Rata rentabilității comerciale</w:t>
      </w:r>
    </w:p>
    <w:p>
      <w:pPr>
        <w:pStyle w:val="Normal"/>
        <w:spacing w:lineRule="auto" w:line="300" w:before="100" w:after="100"/>
        <w:ind w:firstLine="720"/>
        <w:rPr/>
      </w:pPr>
      <w:r>
        <w:rPr>
          <w:rFonts w:eastAsia="Times New Roman" w:cs="Times New Roman"/>
          <w:b w:val="false"/>
          <w:bCs w:val="false"/>
          <w:sz w:val="24"/>
          <w:szCs w:val="24"/>
        </w:rPr>
        <w:t>Formula de calcul: Rata rentabilității comerciale = (Profit net / Cifra de afaceri) × 100</w:t>
      </w:r>
    </w:p>
    <w:p>
      <w:pPr>
        <w:pStyle w:val="Normal"/>
        <w:spacing w:before="60" w:after="60"/>
        <w:rPr/>
      </w:pPr>
      <w:r>
        <w:rPr/>
      </w:r>
    </w:p>
    <w:tbl>
      <w:tblPr>
        <w:tblW w:w="9360" w:type="dxa"/>
        <w:jc w:val="start"/>
        <w:tblInd w:w="0" w:type="dxa"/>
        <w:tblLayout w:type="fixed"/>
        <w:tblCellMar>
          <w:top w:w="70" w:type="dxa"/>
          <w:start w:w="100" w:type="dxa"/>
          <w:bottom w:w="70" w:type="dxa"/>
          <w:end w:w="100" w:type="dxa"/>
        </w:tblCellMar>
      </w:tblPr>
      <w:tblGrid>
        <w:gridCol w:w="3800"/>
        <w:gridCol w:w="1439"/>
        <w:gridCol w:w="1441"/>
        <w:gridCol w:w="2680"/>
      </w:tblGrid>
      <w:tr>
        <w:trPr/>
        <w:tc>
          <w:tcPr>
            <w:tcW w:w="3800"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Indicator</w:t>
            </w:r>
          </w:p>
        </w:tc>
        <w:tc>
          <w:tcPr>
            <w:tcW w:w="1439"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2024</w:t>
            </w:r>
          </w:p>
        </w:tc>
        <w:tc>
          <w:tcPr>
            <w:tcW w:w="1441"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2025</w:t>
            </w:r>
          </w:p>
        </w:tc>
        <w:tc>
          <w:tcPr>
            <w:tcW w:w="2680"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Abatere</w:t>
            </w:r>
          </w:p>
        </w:tc>
      </w:tr>
      <w:tr>
        <w:trPr/>
        <w:tc>
          <w:tcPr>
            <w:tcW w:w="38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Profit net (lei)</w:t>
            </w:r>
          </w:p>
        </w:tc>
        <w:tc>
          <w:tcPr>
            <w:tcW w:w="143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r>
              <w:rPr>
                <w:rFonts w:eastAsia="Times New Roman" w:cs="Times New Roman"/>
                <w:b w:val="false"/>
                <w:bCs w:val="false"/>
                <w:sz w:val="20"/>
                <w:szCs w:val="20"/>
              </w:rPr>
              <w:t>42.711</w:t>
            </w:r>
          </w:p>
        </w:tc>
        <w:tc>
          <w:tcPr>
            <w:tcW w:w="144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81.854</w:t>
            </w:r>
          </w:p>
        </w:tc>
        <w:tc>
          <w:tcPr>
            <w:tcW w:w="268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p>
        </w:tc>
      </w:tr>
      <w:tr>
        <w:trPr/>
        <w:tc>
          <w:tcPr>
            <w:tcW w:w="38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Cifra de afaceri (lei)</w:t>
            </w:r>
          </w:p>
        </w:tc>
        <w:tc>
          <w:tcPr>
            <w:tcW w:w="143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2.158.144</w:t>
            </w:r>
          </w:p>
        </w:tc>
        <w:tc>
          <w:tcPr>
            <w:tcW w:w="144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2.543.426</w:t>
            </w:r>
          </w:p>
        </w:tc>
        <w:tc>
          <w:tcPr>
            <w:tcW w:w="268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p>
        </w:tc>
      </w:tr>
      <w:tr>
        <w:trPr/>
        <w:tc>
          <w:tcPr>
            <w:tcW w:w="38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bCs/>
                <w:sz w:val="20"/>
                <w:szCs w:val="20"/>
              </w:rPr>
              <w:t>Rata rent. comerciale</w:t>
            </w:r>
          </w:p>
        </w:tc>
        <w:tc>
          <w:tcPr>
            <w:tcW w:w="143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bCs/>
                <w:sz w:val="20"/>
                <w:szCs w:val="20"/>
              </w:rPr>
              <w:t>–</w:t>
            </w:r>
            <w:r>
              <w:rPr>
                <w:rFonts w:eastAsia="Times New Roman" w:cs="Times New Roman"/>
                <w:b/>
                <w:bCs/>
                <w:sz w:val="20"/>
                <w:szCs w:val="20"/>
              </w:rPr>
              <w:t>1,98%</w:t>
            </w:r>
          </w:p>
        </w:tc>
        <w:tc>
          <w:tcPr>
            <w:tcW w:w="144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bCs/>
                <w:sz w:val="20"/>
                <w:szCs w:val="20"/>
              </w:rPr>
              <w:t>3,22%</w:t>
            </w:r>
          </w:p>
        </w:tc>
        <w:tc>
          <w:tcPr>
            <w:tcW w:w="268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bCs/>
                <w:sz w:val="20"/>
                <w:szCs w:val="20"/>
              </w:rPr>
              <w:t>+5,20 p.p.</w:t>
            </w:r>
          </w:p>
        </w:tc>
      </w:tr>
    </w:tbl>
    <w:p>
      <w:pPr>
        <w:pStyle w:val="Normal"/>
        <w:spacing w:before="80" w:after="200"/>
        <w:jc w:val="start"/>
        <w:rPr/>
      </w:pPr>
      <w:r>
        <w:rPr>
          <w:rFonts w:eastAsia="Times New Roman" w:cs="Times New Roman"/>
          <w:sz w:val="18"/>
          <w:szCs w:val="18"/>
        </w:rPr>
        <w:t>Tabelul 3.4. Rata rentabilității comerciale. Sursa: Calcule proprii pe baza F20.</w:t>
      </w:r>
    </w:p>
    <w:p>
      <w:pPr>
        <w:pStyle w:val="Normal"/>
        <w:spacing w:before="60" w:after="60"/>
        <w:rPr/>
      </w:pPr>
      <w:r>
        <w:rPr/>
      </w:r>
    </w:p>
    <w:p>
      <w:pPr>
        <w:pStyle w:val="Normal"/>
        <w:spacing w:lineRule="auto" w:line="300" w:before="100" w:after="100"/>
        <w:ind w:firstLine="720"/>
        <w:rPr/>
      </w:pPr>
      <w:r>
        <w:rPr>
          <w:rFonts w:eastAsia="Times New Roman" w:cs="Times New Roman"/>
          <w:b w:val="false"/>
          <w:bCs w:val="false"/>
          <w:sz w:val="24"/>
          <w:szCs w:val="24"/>
        </w:rPr>
        <w:t>Rata rentabilității comerciale exprimă profitul net generat la fiecare 100 lei cifră de afaceri. Trecerea de la –1,98% în 2024 la +3,22% în 2025 semnifică inversarea completă a eficienței comerciale: dacă în 2024 fiecare 100 lei venituri generau o pierdere de aproape 2 lei, în 2025 generează un profit de 3,22 lei. Deși valoarea rămâne sub pragul optim de 10% recomandat în literatura de specialitate, ameliorarea de 5,20 puncte procentuale indică o traiectorie pozitivă clară, care ar trebui consolidată în exercițiile viitoare prin controlul structurii de costuri.</w:t>
      </w:r>
    </w:p>
    <w:p>
      <w:pPr>
        <w:pStyle w:val="Normal"/>
        <w:spacing w:before="60" w:after="60"/>
        <w:rPr/>
      </w:pPr>
      <w:r>
        <w:rPr/>
      </w:r>
    </w:p>
    <w:p>
      <w:pPr>
        <w:pStyle w:val="Heading3"/>
        <w:spacing w:before="220" w:after="120"/>
        <w:jc w:val="start"/>
        <w:rPr/>
      </w:pPr>
      <w:r>
        <w:rPr>
          <w:rFonts w:eastAsia="Times New Roman" w:cs="Times New Roman" w:ascii="Times New Roman" w:hAnsi="Times New Roman"/>
          <w:b/>
          <w:bCs/>
          <w:sz w:val="24"/>
          <w:szCs w:val="24"/>
        </w:rPr>
        <w:t>3.5.2. Rata rentabilității economice (ROA)</w:t>
      </w:r>
    </w:p>
    <w:p>
      <w:pPr>
        <w:pStyle w:val="Normal"/>
        <w:spacing w:lineRule="auto" w:line="300" w:before="100" w:after="100"/>
        <w:ind w:firstLine="720"/>
        <w:rPr/>
      </w:pPr>
      <w:r>
        <w:rPr>
          <w:rFonts w:eastAsia="Times New Roman" w:cs="Times New Roman"/>
          <w:b w:val="false"/>
          <w:bCs w:val="false"/>
          <w:sz w:val="24"/>
          <w:szCs w:val="24"/>
        </w:rPr>
        <w:t>Formula de calcul: Rata rentabilității economice = (Profit net / Total active) × 100</w:t>
      </w:r>
    </w:p>
    <w:p>
      <w:pPr>
        <w:pStyle w:val="Normal"/>
        <w:spacing w:before="60" w:after="60"/>
        <w:rPr/>
      </w:pPr>
      <w:r>
        <w:rPr/>
      </w:r>
    </w:p>
    <w:tbl>
      <w:tblPr>
        <w:tblW w:w="9360" w:type="dxa"/>
        <w:jc w:val="start"/>
        <w:tblInd w:w="0" w:type="dxa"/>
        <w:tblLayout w:type="fixed"/>
        <w:tblCellMar>
          <w:top w:w="70" w:type="dxa"/>
          <w:start w:w="100" w:type="dxa"/>
          <w:bottom w:w="70" w:type="dxa"/>
          <w:end w:w="100" w:type="dxa"/>
        </w:tblCellMar>
      </w:tblPr>
      <w:tblGrid>
        <w:gridCol w:w="3800"/>
        <w:gridCol w:w="1439"/>
        <w:gridCol w:w="1441"/>
        <w:gridCol w:w="2680"/>
      </w:tblGrid>
      <w:tr>
        <w:trPr/>
        <w:tc>
          <w:tcPr>
            <w:tcW w:w="3800"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Indicator</w:t>
            </w:r>
          </w:p>
        </w:tc>
        <w:tc>
          <w:tcPr>
            <w:tcW w:w="1439"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2024</w:t>
            </w:r>
          </w:p>
        </w:tc>
        <w:tc>
          <w:tcPr>
            <w:tcW w:w="1441"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2025</w:t>
            </w:r>
          </w:p>
        </w:tc>
        <w:tc>
          <w:tcPr>
            <w:tcW w:w="2680"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Abatere</w:t>
            </w:r>
          </w:p>
        </w:tc>
      </w:tr>
      <w:tr>
        <w:trPr/>
        <w:tc>
          <w:tcPr>
            <w:tcW w:w="38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Profit net (lei)</w:t>
            </w:r>
          </w:p>
        </w:tc>
        <w:tc>
          <w:tcPr>
            <w:tcW w:w="143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r>
              <w:rPr>
                <w:rFonts w:eastAsia="Times New Roman" w:cs="Times New Roman"/>
                <w:b w:val="false"/>
                <w:bCs w:val="false"/>
                <w:sz w:val="20"/>
                <w:szCs w:val="20"/>
              </w:rPr>
              <w:t>42.711</w:t>
            </w:r>
          </w:p>
        </w:tc>
        <w:tc>
          <w:tcPr>
            <w:tcW w:w="144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81.854</w:t>
            </w:r>
          </w:p>
        </w:tc>
        <w:tc>
          <w:tcPr>
            <w:tcW w:w="268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p>
        </w:tc>
      </w:tr>
      <w:tr>
        <w:trPr/>
        <w:tc>
          <w:tcPr>
            <w:tcW w:w="38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Total active (lei)</w:t>
            </w:r>
          </w:p>
        </w:tc>
        <w:tc>
          <w:tcPr>
            <w:tcW w:w="143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1.365.413</w:t>
            </w:r>
          </w:p>
        </w:tc>
        <w:tc>
          <w:tcPr>
            <w:tcW w:w="144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1.447.772</w:t>
            </w:r>
          </w:p>
        </w:tc>
        <w:tc>
          <w:tcPr>
            <w:tcW w:w="268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p>
        </w:tc>
      </w:tr>
      <w:tr>
        <w:trPr/>
        <w:tc>
          <w:tcPr>
            <w:tcW w:w="38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bCs/>
                <w:sz w:val="20"/>
                <w:szCs w:val="20"/>
              </w:rPr>
              <w:t>Rata rent. economice (ROA)</w:t>
            </w:r>
          </w:p>
        </w:tc>
        <w:tc>
          <w:tcPr>
            <w:tcW w:w="143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bCs/>
                <w:sz w:val="20"/>
                <w:szCs w:val="20"/>
              </w:rPr>
              <w:t>–</w:t>
            </w:r>
            <w:r>
              <w:rPr>
                <w:rFonts w:eastAsia="Times New Roman" w:cs="Times New Roman"/>
                <w:b/>
                <w:bCs/>
                <w:sz w:val="20"/>
                <w:szCs w:val="20"/>
              </w:rPr>
              <w:t>3,13%</w:t>
            </w:r>
          </w:p>
        </w:tc>
        <w:tc>
          <w:tcPr>
            <w:tcW w:w="144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bCs/>
                <w:sz w:val="20"/>
                <w:szCs w:val="20"/>
              </w:rPr>
              <w:t>5,65%</w:t>
            </w:r>
          </w:p>
        </w:tc>
        <w:tc>
          <w:tcPr>
            <w:tcW w:w="268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bCs/>
                <w:sz w:val="20"/>
                <w:szCs w:val="20"/>
              </w:rPr>
              <w:t>+8,78 p.p.</w:t>
            </w:r>
          </w:p>
        </w:tc>
      </w:tr>
    </w:tbl>
    <w:p>
      <w:pPr>
        <w:pStyle w:val="Normal"/>
        <w:spacing w:before="80" w:after="200"/>
        <w:jc w:val="start"/>
        <w:rPr/>
      </w:pPr>
      <w:r>
        <w:rPr>
          <w:rFonts w:eastAsia="Times New Roman" w:cs="Times New Roman"/>
          <w:sz w:val="18"/>
          <w:szCs w:val="18"/>
        </w:rPr>
        <w:t>Tabelul 3.5. Rata rentabilității economice. Sursa: Calcule proprii pe baza F10 și F20.</w:t>
      </w:r>
    </w:p>
    <w:p>
      <w:pPr>
        <w:pStyle w:val="Normal"/>
        <w:spacing w:before="60" w:after="60"/>
        <w:rPr/>
      </w:pPr>
      <w:r>
        <w:rPr/>
      </w:r>
    </w:p>
    <w:p>
      <w:pPr>
        <w:pStyle w:val="Normal"/>
        <w:spacing w:lineRule="auto" w:line="300" w:before="100" w:after="100"/>
        <w:ind w:firstLine="720"/>
        <w:rPr/>
      </w:pPr>
      <w:r>
        <w:rPr>
          <w:rFonts w:eastAsia="Times New Roman" w:cs="Times New Roman"/>
          <w:b w:val="false"/>
          <w:bCs w:val="false"/>
          <w:sz w:val="24"/>
          <w:szCs w:val="24"/>
        </w:rPr>
        <w:t>Rentabilitatea economică reflectă eficiența cu care sunt valorificate toate activele entității, indiferent de sursa lor de finanțare. Valoarea de 5,65% înregistrată în 2025 semnifică faptul că fiecare 100 lei investiți în active generează 5,65 lei profit net. Deși sub media acceptată de 10–15% pentru sectoarele competitive, recuperarea față de valoarea negativă din 2024 (–3,13%) este remarcabilă și justifică o apreciere favorabilă a direcției de evoluție. Această ameliorare este determinată concomitent de creșterea numărătorului (profitul net) și de creșterea mai lentă a numitorului (activele totale s-au majorat cu doar 6,1%).</w:t>
      </w:r>
    </w:p>
    <w:p>
      <w:pPr>
        <w:pStyle w:val="Normal"/>
        <w:spacing w:before="60" w:after="60"/>
        <w:rPr/>
      </w:pPr>
      <w:r>
        <w:rPr/>
      </w:r>
    </w:p>
    <w:p>
      <w:pPr>
        <w:pStyle w:val="Heading3"/>
        <w:spacing w:before="220" w:after="120"/>
        <w:jc w:val="start"/>
        <w:rPr/>
      </w:pPr>
      <w:r>
        <w:rPr>
          <w:rFonts w:eastAsia="Times New Roman" w:cs="Times New Roman" w:ascii="Times New Roman" w:hAnsi="Times New Roman"/>
          <w:b/>
          <w:bCs/>
          <w:sz w:val="24"/>
          <w:szCs w:val="24"/>
        </w:rPr>
        <w:t>3.5.3. Rata rentabilității financiare (ROE)</w:t>
      </w:r>
    </w:p>
    <w:p>
      <w:pPr>
        <w:pStyle w:val="Normal"/>
        <w:spacing w:lineRule="auto" w:line="300" w:before="100" w:after="100"/>
        <w:ind w:firstLine="720"/>
        <w:rPr/>
      </w:pPr>
      <w:r>
        <w:rPr>
          <w:rFonts w:eastAsia="Times New Roman" w:cs="Times New Roman"/>
          <w:b w:val="false"/>
          <w:bCs w:val="false"/>
          <w:sz w:val="24"/>
          <w:szCs w:val="24"/>
        </w:rPr>
        <w:t>Formula de calcul: Rata rentabilității financiare = (Profit net / Capitaluri proprii) × 100</w:t>
      </w:r>
    </w:p>
    <w:p>
      <w:pPr>
        <w:pStyle w:val="Normal"/>
        <w:spacing w:before="60" w:after="60"/>
        <w:rPr/>
      </w:pPr>
      <w:r>
        <w:rPr/>
      </w:r>
    </w:p>
    <w:tbl>
      <w:tblPr>
        <w:tblW w:w="9360" w:type="dxa"/>
        <w:jc w:val="start"/>
        <w:tblInd w:w="0" w:type="dxa"/>
        <w:tblLayout w:type="fixed"/>
        <w:tblCellMar>
          <w:top w:w="70" w:type="dxa"/>
          <w:start w:w="100" w:type="dxa"/>
          <w:bottom w:w="70" w:type="dxa"/>
          <w:end w:w="100" w:type="dxa"/>
        </w:tblCellMar>
      </w:tblPr>
      <w:tblGrid>
        <w:gridCol w:w="3800"/>
        <w:gridCol w:w="1439"/>
        <w:gridCol w:w="1441"/>
        <w:gridCol w:w="2680"/>
      </w:tblGrid>
      <w:tr>
        <w:trPr/>
        <w:tc>
          <w:tcPr>
            <w:tcW w:w="3800"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Indicator</w:t>
            </w:r>
          </w:p>
        </w:tc>
        <w:tc>
          <w:tcPr>
            <w:tcW w:w="1439"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2024</w:t>
            </w:r>
          </w:p>
        </w:tc>
        <w:tc>
          <w:tcPr>
            <w:tcW w:w="1441"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2025</w:t>
            </w:r>
          </w:p>
        </w:tc>
        <w:tc>
          <w:tcPr>
            <w:tcW w:w="2680"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Abatere</w:t>
            </w:r>
          </w:p>
        </w:tc>
      </w:tr>
      <w:tr>
        <w:trPr/>
        <w:tc>
          <w:tcPr>
            <w:tcW w:w="38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Profit net (lei)</w:t>
            </w:r>
          </w:p>
        </w:tc>
        <w:tc>
          <w:tcPr>
            <w:tcW w:w="143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r>
              <w:rPr>
                <w:rFonts w:eastAsia="Times New Roman" w:cs="Times New Roman"/>
                <w:b w:val="false"/>
                <w:bCs w:val="false"/>
                <w:sz w:val="20"/>
                <w:szCs w:val="20"/>
              </w:rPr>
              <w:t>42.711</w:t>
            </w:r>
          </w:p>
        </w:tc>
        <w:tc>
          <w:tcPr>
            <w:tcW w:w="144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81.854</w:t>
            </w:r>
          </w:p>
        </w:tc>
        <w:tc>
          <w:tcPr>
            <w:tcW w:w="268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p>
        </w:tc>
      </w:tr>
      <w:tr>
        <w:trPr/>
        <w:tc>
          <w:tcPr>
            <w:tcW w:w="38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Capitaluri proprii (lei)</w:t>
            </w:r>
          </w:p>
        </w:tc>
        <w:tc>
          <w:tcPr>
            <w:tcW w:w="143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522.471</w:t>
            </w:r>
          </w:p>
        </w:tc>
        <w:tc>
          <w:tcPr>
            <w:tcW w:w="144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604.324</w:t>
            </w:r>
          </w:p>
        </w:tc>
        <w:tc>
          <w:tcPr>
            <w:tcW w:w="268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p>
        </w:tc>
      </w:tr>
      <w:tr>
        <w:trPr/>
        <w:tc>
          <w:tcPr>
            <w:tcW w:w="38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bCs/>
                <w:sz w:val="20"/>
                <w:szCs w:val="20"/>
              </w:rPr>
              <w:t>Rata rent. financiare (ROE)</w:t>
            </w:r>
          </w:p>
        </w:tc>
        <w:tc>
          <w:tcPr>
            <w:tcW w:w="143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bCs/>
                <w:sz w:val="20"/>
                <w:szCs w:val="20"/>
              </w:rPr>
              <w:t>–</w:t>
            </w:r>
            <w:r>
              <w:rPr>
                <w:rFonts w:eastAsia="Times New Roman" w:cs="Times New Roman"/>
                <w:b/>
                <w:bCs/>
                <w:sz w:val="20"/>
                <w:szCs w:val="20"/>
              </w:rPr>
              <w:t>8,17%</w:t>
            </w:r>
          </w:p>
        </w:tc>
        <w:tc>
          <w:tcPr>
            <w:tcW w:w="144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bCs/>
                <w:sz w:val="20"/>
                <w:szCs w:val="20"/>
              </w:rPr>
              <w:t>13,55%</w:t>
            </w:r>
          </w:p>
        </w:tc>
        <w:tc>
          <w:tcPr>
            <w:tcW w:w="268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bCs/>
                <w:sz w:val="20"/>
                <w:szCs w:val="20"/>
              </w:rPr>
              <w:t>+21,72 p.p.</w:t>
            </w:r>
          </w:p>
        </w:tc>
      </w:tr>
    </w:tbl>
    <w:p>
      <w:pPr>
        <w:pStyle w:val="Normal"/>
        <w:spacing w:before="80" w:after="200"/>
        <w:jc w:val="start"/>
        <w:rPr/>
      </w:pPr>
      <w:r>
        <w:rPr>
          <w:rFonts w:eastAsia="Times New Roman" w:cs="Times New Roman"/>
          <w:sz w:val="18"/>
          <w:szCs w:val="18"/>
        </w:rPr>
        <w:t>Tabelul 3.6. Rata rentabilității financiare. Sursa: Calcule proprii pe baza F10 și F20.</w:t>
      </w:r>
    </w:p>
    <w:p>
      <w:pPr>
        <w:pStyle w:val="Normal"/>
        <w:spacing w:before="60" w:after="60"/>
        <w:rPr/>
      </w:pPr>
      <w:r>
        <w:rPr/>
      </w:r>
    </w:p>
    <w:p>
      <w:pPr>
        <w:pStyle w:val="Normal"/>
        <w:spacing w:lineRule="auto" w:line="300" w:before="100" w:after="100"/>
        <w:ind w:firstLine="720"/>
        <w:rPr/>
      </w:pPr>
      <w:r>
        <w:rPr>
          <w:rFonts w:eastAsia="Times New Roman" w:cs="Times New Roman"/>
          <w:b w:val="false"/>
          <w:bCs w:val="false"/>
          <w:sz w:val="24"/>
          <w:szCs w:val="24"/>
        </w:rPr>
        <w:t>Rata rentabilității financiare – cunoscută și sub acronimul ROE (Return on Equity) – măsoară randamentul obținut de acționari pentru capitalul investit în entitate. O valoare de 13,55% în 2025 indică că fiecare 100 lei de capital propriu au generat 13,55 lei profit net, un nivel superior ratei medii a dobânzilor bancare pentru depozite, ceea ce justifică economic menținerea investiției. Ameliorarea față de 2024 (–8,17%) este remarcabilă, cu o variație pozitivă de 21,72 puncte procentuale. Capitalurile proprii s-au majorat cu 15,67% – de la 522.471 lei la 604.324 lei – prin acumularea profitului curent, ceea ce demonstrează că autofinanțarea funcționează ca mecanism de consolidare a bazei financiare.</w:t>
      </w:r>
    </w:p>
    <w:p>
      <w:pPr>
        <w:pStyle w:val="Normal"/>
        <w:spacing w:before="60" w:after="60"/>
        <w:rPr/>
      </w:pPr>
      <w:r>
        <w:rPr/>
      </w:r>
    </w:p>
    <w:p>
      <w:pPr>
        <w:pStyle w:val="Heading3"/>
        <w:spacing w:before="220" w:after="120"/>
        <w:jc w:val="start"/>
        <w:rPr/>
      </w:pPr>
      <w:r>
        <w:rPr>
          <w:rFonts w:eastAsia="Times New Roman" w:cs="Times New Roman" w:ascii="Times New Roman" w:hAnsi="Times New Roman"/>
          <w:b/>
          <w:bCs/>
          <w:sz w:val="24"/>
          <w:szCs w:val="24"/>
        </w:rPr>
        <w:t>3.5.4. Marja netă a profitului</w:t>
      </w:r>
    </w:p>
    <w:p>
      <w:pPr>
        <w:pStyle w:val="Normal"/>
        <w:spacing w:lineRule="auto" w:line="300" w:before="100" w:after="100"/>
        <w:ind w:firstLine="720"/>
        <w:rPr/>
      </w:pPr>
      <w:r>
        <w:rPr>
          <w:rFonts w:eastAsia="Times New Roman" w:cs="Times New Roman"/>
          <w:b w:val="false"/>
          <w:bCs w:val="false"/>
          <w:sz w:val="24"/>
          <w:szCs w:val="24"/>
        </w:rPr>
        <w:t>Formula de calcul: Marja netă = (Profit net / Total venituri) × 100</w:t>
      </w:r>
    </w:p>
    <w:p>
      <w:pPr>
        <w:pStyle w:val="Normal"/>
        <w:spacing w:before="60" w:after="60"/>
        <w:rPr/>
      </w:pPr>
      <w:r>
        <w:rPr/>
      </w:r>
    </w:p>
    <w:tbl>
      <w:tblPr>
        <w:tblW w:w="9360" w:type="dxa"/>
        <w:jc w:val="start"/>
        <w:tblInd w:w="0" w:type="dxa"/>
        <w:tblLayout w:type="fixed"/>
        <w:tblCellMar>
          <w:top w:w="70" w:type="dxa"/>
          <w:start w:w="100" w:type="dxa"/>
          <w:bottom w:w="70" w:type="dxa"/>
          <w:end w:w="100" w:type="dxa"/>
        </w:tblCellMar>
      </w:tblPr>
      <w:tblGrid>
        <w:gridCol w:w="3800"/>
        <w:gridCol w:w="1439"/>
        <w:gridCol w:w="1441"/>
        <w:gridCol w:w="2680"/>
      </w:tblGrid>
      <w:tr>
        <w:trPr/>
        <w:tc>
          <w:tcPr>
            <w:tcW w:w="3800"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Indicator</w:t>
            </w:r>
          </w:p>
        </w:tc>
        <w:tc>
          <w:tcPr>
            <w:tcW w:w="1439"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2024</w:t>
            </w:r>
          </w:p>
        </w:tc>
        <w:tc>
          <w:tcPr>
            <w:tcW w:w="1441"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2025</w:t>
            </w:r>
          </w:p>
        </w:tc>
        <w:tc>
          <w:tcPr>
            <w:tcW w:w="2680"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Abatere</w:t>
            </w:r>
          </w:p>
        </w:tc>
      </w:tr>
      <w:tr>
        <w:trPr/>
        <w:tc>
          <w:tcPr>
            <w:tcW w:w="38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Profit net (lei)</w:t>
            </w:r>
          </w:p>
        </w:tc>
        <w:tc>
          <w:tcPr>
            <w:tcW w:w="143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r>
              <w:rPr>
                <w:rFonts w:eastAsia="Times New Roman" w:cs="Times New Roman"/>
                <w:b w:val="false"/>
                <w:bCs w:val="false"/>
                <w:sz w:val="20"/>
                <w:szCs w:val="20"/>
              </w:rPr>
              <w:t>42.711</w:t>
            </w:r>
          </w:p>
        </w:tc>
        <w:tc>
          <w:tcPr>
            <w:tcW w:w="144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81.854</w:t>
            </w:r>
          </w:p>
        </w:tc>
        <w:tc>
          <w:tcPr>
            <w:tcW w:w="268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p>
        </w:tc>
      </w:tr>
      <w:tr>
        <w:trPr/>
        <w:tc>
          <w:tcPr>
            <w:tcW w:w="38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Total venituri (lei)</w:t>
            </w:r>
          </w:p>
        </w:tc>
        <w:tc>
          <w:tcPr>
            <w:tcW w:w="143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2.307.332</w:t>
            </w:r>
          </w:p>
        </w:tc>
        <w:tc>
          <w:tcPr>
            <w:tcW w:w="144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2.659.152</w:t>
            </w:r>
          </w:p>
        </w:tc>
        <w:tc>
          <w:tcPr>
            <w:tcW w:w="268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p>
        </w:tc>
      </w:tr>
      <w:tr>
        <w:trPr/>
        <w:tc>
          <w:tcPr>
            <w:tcW w:w="38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bCs/>
                <w:sz w:val="20"/>
                <w:szCs w:val="20"/>
              </w:rPr>
              <w:t>Marja netă</w:t>
            </w:r>
          </w:p>
        </w:tc>
        <w:tc>
          <w:tcPr>
            <w:tcW w:w="143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bCs/>
                <w:sz w:val="20"/>
                <w:szCs w:val="20"/>
              </w:rPr>
              <w:t>–</w:t>
            </w:r>
            <w:r>
              <w:rPr>
                <w:rFonts w:eastAsia="Times New Roman" w:cs="Times New Roman"/>
                <w:b/>
                <w:bCs/>
                <w:sz w:val="20"/>
                <w:szCs w:val="20"/>
              </w:rPr>
              <w:t>1,85%</w:t>
            </w:r>
          </w:p>
        </w:tc>
        <w:tc>
          <w:tcPr>
            <w:tcW w:w="144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bCs/>
                <w:sz w:val="20"/>
                <w:szCs w:val="20"/>
              </w:rPr>
              <w:t>3,08%</w:t>
            </w:r>
          </w:p>
        </w:tc>
        <w:tc>
          <w:tcPr>
            <w:tcW w:w="268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bCs/>
                <w:sz w:val="20"/>
                <w:szCs w:val="20"/>
              </w:rPr>
              <w:t>+4,93 p.p.</w:t>
            </w:r>
          </w:p>
        </w:tc>
      </w:tr>
    </w:tbl>
    <w:p>
      <w:pPr>
        <w:pStyle w:val="Normal"/>
        <w:spacing w:before="80" w:after="200"/>
        <w:jc w:val="start"/>
        <w:rPr/>
      </w:pPr>
      <w:r>
        <w:rPr>
          <w:rFonts w:eastAsia="Times New Roman" w:cs="Times New Roman"/>
          <w:sz w:val="18"/>
          <w:szCs w:val="18"/>
        </w:rPr>
        <w:t>Tabelul 3.7. Marja netă a profitului. Sursa: Calcule proprii pe baza F20.</w:t>
      </w:r>
    </w:p>
    <w:p>
      <w:pPr>
        <w:pStyle w:val="Normal"/>
        <w:spacing w:before="60" w:after="60"/>
        <w:rPr/>
      </w:pPr>
      <w:r>
        <w:rPr/>
      </w:r>
    </w:p>
    <w:p>
      <w:pPr>
        <w:pStyle w:val="Normal"/>
        <w:spacing w:lineRule="auto" w:line="300" w:before="100" w:after="100"/>
        <w:ind w:firstLine="720"/>
        <w:rPr/>
      </w:pPr>
      <w:r>
        <w:rPr>
          <w:rFonts w:eastAsia="Times New Roman" w:cs="Times New Roman"/>
          <w:b w:val="false"/>
          <w:bCs w:val="false"/>
          <w:sz w:val="24"/>
          <w:szCs w:val="24"/>
        </w:rPr>
        <w:t>Marja netă a profitului oferă o perspectivă integrată asupra eficienței activității, raportând rezultatul final la ansamblul fluxurilor de venituri generate. Valoarea de 3,08% în 2025 – față de –1,85% în 2024 – confirmă ameliorarea structurală constatată și la nivelul celorlalți indicatori de rentabilitate. La fiecare 100 lei venituri totale, entitatea reține 3,08 lei ca profit net, față de o pierdere de 1,85 lei în exercițiul anterior. Chiar dacă marja rămâne modestă, traiectoria ascendentă oferă premise favorabile pentru atingerea unui nivel de 5–8% în orizontul următor, condiționat de continuarea controlului costurilor.</w:t>
      </w:r>
    </w:p>
    <w:p>
      <w:pPr>
        <w:pStyle w:val="Normal"/>
        <w:spacing w:before="60" w:after="60"/>
        <w:rPr/>
      </w:pPr>
      <w:r>
        <w:rPr/>
      </w:r>
    </w:p>
    <w:p>
      <w:pPr>
        <w:pStyle w:val="Heading3"/>
        <w:spacing w:before="220" w:after="120"/>
        <w:jc w:val="start"/>
        <w:rPr/>
      </w:pPr>
      <w:r>
        <w:rPr>
          <w:rFonts w:eastAsia="Times New Roman" w:cs="Times New Roman" w:ascii="Times New Roman" w:hAnsi="Times New Roman"/>
          <w:b/>
          <w:bCs/>
          <w:sz w:val="24"/>
          <w:szCs w:val="24"/>
        </w:rPr>
        <w:t>3.5.5. Rata cheltuielilor de exploatare</w:t>
      </w:r>
    </w:p>
    <w:p>
      <w:pPr>
        <w:pStyle w:val="Normal"/>
        <w:spacing w:lineRule="auto" w:line="300" w:before="100" w:after="100"/>
        <w:ind w:firstLine="720"/>
        <w:rPr/>
      </w:pPr>
      <w:r>
        <w:rPr>
          <w:rFonts w:eastAsia="Times New Roman" w:cs="Times New Roman"/>
          <w:b w:val="false"/>
          <w:bCs w:val="false"/>
          <w:sz w:val="24"/>
          <w:szCs w:val="24"/>
        </w:rPr>
        <w:t>Formula de calcul: Rata cheltuielilor de exploatare = (Total cheltuieli / Total venituri) × 100</w:t>
      </w:r>
    </w:p>
    <w:p>
      <w:pPr>
        <w:pStyle w:val="Normal"/>
        <w:spacing w:before="60" w:after="60"/>
        <w:rPr/>
      </w:pPr>
      <w:r>
        <w:rPr/>
      </w:r>
    </w:p>
    <w:tbl>
      <w:tblPr>
        <w:tblW w:w="9360" w:type="dxa"/>
        <w:jc w:val="start"/>
        <w:tblInd w:w="0" w:type="dxa"/>
        <w:tblLayout w:type="fixed"/>
        <w:tblCellMar>
          <w:top w:w="70" w:type="dxa"/>
          <w:start w:w="100" w:type="dxa"/>
          <w:bottom w:w="70" w:type="dxa"/>
          <w:end w:w="100" w:type="dxa"/>
        </w:tblCellMar>
      </w:tblPr>
      <w:tblGrid>
        <w:gridCol w:w="3800"/>
        <w:gridCol w:w="1439"/>
        <w:gridCol w:w="1441"/>
        <w:gridCol w:w="2680"/>
      </w:tblGrid>
      <w:tr>
        <w:trPr/>
        <w:tc>
          <w:tcPr>
            <w:tcW w:w="3800"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Indicator</w:t>
            </w:r>
          </w:p>
        </w:tc>
        <w:tc>
          <w:tcPr>
            <w:tcW w:w="1439"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2024</w:t>
            </w:r>
          </w:p>
        </w:tc>
        <w:tc>
          <w:tcPr>
            <w:tcW w:w="1441"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2025</w:t>
            </w:r>
          </w:p>
        </w:tc>
        <w:tc>
          <w:tcPr>
            <w:tcW w:w="2680"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Abatere</w:t>
            </w:r>
          </w:p>
        </w:tc>
      </w:tr>
      <w:tr>
        <w:trPr/>
        <w:tc>
          <w:tcPr>
            <w:tcW w:w="38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Total cheltuieli (lei)</w:t>
            </w:r>
          </w:p>
        </w:tc>
        <w:tc>
          <w:tcPr>
            <w:tcW w:w="143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2.350.043</w:t>
            </w:r>
          </w:p>
        </w:tc>
        <w:tc>
          <w:tcPr>
            <w:tcW w:w="144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2.577.298</w:t>
            </w:r>
          </w:p>
        </w:tc>
        <w:tc>
          <w:tcPr>
            <w:tcW w:w="268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p>
        </w:tc>
      </w:tr>
      <w:tr>
        <w:trPr/>
        <w:tc>
          <w:tcPr>
            <w:tcW w:w="38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Total venituri (lei)</w:t>
            </w:r>
          </w:p>
        </w:tc>
        <w:tc>
          <w:tcPr>
            <w:tcW w:w="143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2.307.332</w:t>
            </w:r>
          </w:p>
        </w:tc>
        <w:tc>
          <w:tcPr>
            <w:tcW w:w="144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2.659.152</w:t>
            </w:r>
          </w:p>
        </w:tc>
        <w:tc>
          <w:tcPr>
            <w:tcW w:w="268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p>
        </w:tc>
      </w:tr>
      <w:tr>
        <w:trPr/>
        <w:tc>
          <w:tcPr>
            <w:tcW w:w="38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bCs/>
                <w:sz w:val="20"/>
                <w:szCs w:val="20"/>
              </w:rPr>
              <w:t>Rata chelt. exploatare</w:t>
            </w:r>
          </w:p>
        </w:tc>
        <w:tc>
          <w:tcPr>
            <w:tcW w:w="143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bCs/>
                <w:sz w:val="20"/>
                <w:szCs w:val="20"/>
              </w:rPr>
              <w:t>101,85%</w:t>
            </w:r>
          </w:p>
        </w:tc>
        <w:tc>
          <w:tcPr>
            <w:tcW w:w="144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bCs/>
                <w:sz w:val="20"/>
                <w:szCs w:val="20"/>
              </w:rPr>
              <w:t>96,92%</w:t>
            </w:r>
          </w:p>
        </w:tc>
        <w:tc>
          <w:tcPr>
            <w:tcW w:w="268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bCs/>
                <w:sz w:val="20"/>
                <w:szCs w:val="20"/>
              </w:rPr>
              <w:t>–</w:t>
            </w:r>
            <w:r>
              <w:rPr>
                <w:rFonts w:eastAsia="Times New Roman" w:cs="Times New Roman"/>
                <w:b/>
                <w:bCs/>
                <w:sz w:val="20"/>
                <w:szCs w:val="20"/>
              </w:rPr>
              <w:t>4,93 p.p.</w:t>
            </w:r>
          </w:p>
        </w:tc>
      </w:tr>
    </w:tbl>
    <w:p>
      <w:pPr>
        <w:pStyle w:val="Normal"/>
        <w:spacing w:before="80" w:after="200"/>
        <w:jc w:val="start"/>
        <w:rPr/>
      </w:pPr>
      <w:r>
        <w:rPr>
          <w:rFonts w:eastAsia="Times New Roman" w:cs="Times New Roman"/>
          <w:sz w:val="18"/>
          <w:szCs w:val="18"/>
        </w:rPr>
        <w:t>Tabelul 3.8. Rata cheltuielilor de exploatare. Sursa: Calcule proprii pe baza F20.</w:t>
      </w:r>
    </w:p>
    <w:p>
      <w:pPr>
        <w:pStyle w:val="Normal"/>
        <w:spacing w:before="60" w:after="60"/>
        <w:rPr/>
      </w:pPr>
      <w:r>
        <w:rPr/>
      </w:r>
    </w:p>
    <w:p>
      <w:pPr>
        <w:pStyle w:val="Normal"/>
        <w:spacing w:lineRule="auto" w:line="300" w:before="100" w:after="100"/>
        <w:ind w:firstLine="720"/>
        <w:rPr/>
      </w:pPr>
      <w:r>
        <w:rPr>
          <w:rFonts w:eastAsia="Times New Roman" w:cs="Times New Roman"/>
          <w:b w:val="false"/>
          <w:bCs w:val="false"/>
          <w:sz w:val="24"/>
          <w:szCs w:val="24"/>
        </w:rPr>
        <w:t>Rata cheltuielilor de exploatare exprimă proporția din venituri absorbită de cheltuieli. O valoare supraunitară (101,85% în 2024) semnifică faptul că cheltuielile depășesc veniturile – situație deficitară care a generat pierderea din 2024. Reducerea la 96,92% în 2025 indică intrarea în teritoriul profitabilității: la fiecare 100 lei venituri, sunt consumați 96,92 lei cheltuieli, rămânând 3,08 lei ca marjă netă. Scăderea de 4,93 puncte procentuale este semnificativă și reflectă eficientizarea operațională constatată în structura cheltuielilor.</w:t>
      </w:r>
    </w:p>
    <w:p>
      <w:pPr>
        <w:pStyle w:val="Normal"/>
        <w:spacing w:before="60" w:after="60"/>
        <w:rPr/>
      </w:pPr>
      <w:r>
        <w:rPr/>
      </w:r>
    </w:p>
    <w:p>
      <w:pPr>
        <w:pStyle w:val="Heading3"/>
        <w:spacing w:before="220" w:after="120"/>
        <w:jc w:val="start"/>
        <w:rPr/>
      </w:pPr>
      <w:r>
        <w:rPr>
          <w:rFonts w:eastAsia="Times New Roman" w:cs="Times New Roman" w:ascii="Times New Roman" w:hAnsi="Times New Roman"/>
          <w:b/>
          <w:bCs/>
          <w:sz w:val="24"/>
          <w:szCs w:val="24"/>
        </w:rPr>
        <w:t>3.5.6. Ponderea cheltuielilor cu personalul în total cheltuieli</w:t>
      </w:r>
    </w:p>
    <w:p>
      <w:pPr>
        <w:pStyle w:val="Normal"/>
        <w:spacing w:lineRule="auto" w:line="300" w:before="100" w:after="100"/>
        <w:ind w:firstLine="720"/>
        <w:rPr/>
      </w:pPr>
      <w:r>
        <w:rPr>
          <w:rFonts w:eastAsia="Times New Roman" w:cs="Times New Roman"/>
          <w:b w:val="false"/>
          <w:bCs w:val="false"/>
          <w:sz w:val="24"/>
          <w:szCs w:val="24"/>
        </w:rPr>
        <w:t>Formula de calcul: Pondere chelt. personal = (Cheltuieli personal / Total cheltuieli) × 100</w:t>
      </w:r>
    </w:p>
    <w:p>
      <w:pPr>
        <w:pStyle w:val="Normal"/>
        <w:spacing w:before="60" w:after="60"/>
        <w:rPr/>
      </w:pPr>
      <w:r>
        <w:rPr/>
      </w:r>
    </w:p>
    <w:tbl>
      <w:tblPr>
        <w:tblW w:w="9360" w:type="dxa"/>
        <w:jc w:val="start"/>
        <w:tblInd w:w="0" w:type="dxa"/>
        <w:tblLayout w:type="fixed"/>
        <w:tblCellMar>
          <w:top w:w="70" w:type="dxa"/>
          <w:start w:w="100" w:type="dxa"/>
          <w:bottom w:w="70" w:type="dxa"/>
          <w:end w:w="100" w:type="dxa"/>
        </w:tblCellMar>
      </w:tblPr>
      <w:tblGrid>
        <w:gridCol w:w="3800"/>
        <w:gridCol w:w="1439"/>
        <w:gridCol w:w="1441"/>
        <w:gridCol w:w="2680"/>
      </w:tblGrid>
      <w:tr>
        <w:trPr/>
        <w:tc>
          <w:tcPr>
            <w:tcW w:w="3800"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Indicator</w:t>
            </w:r>
          </w:p>
        </w:tc>
        <w:tc>
          <w:tcPr>
            <w:tcW w:w="1439"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2024</w:t>
            </w:r>
          </w:p>
        </w:tc>
        <w:tc>
          <w:tcPr>
            <w:tcW w:w="1441"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2025</w:t>
            </w:r>
          </w:p>
        </w:tc>
        <w:tc>
          <w:tcPr>
            <w:tcW w:w="2680"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Abatere</w:t>
            </w:r>
          </w:p>
        </w:tc>
      </w:tr>
      <w:tr>
        <w:trPr/>
        <w:tc>
          <w:tcPr>
            <w:tcW w:w="38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Cheltuieli personal (lei)</w:t>
            </w:r>
          </w:p>
        </w:tc>
        <w:tc>
          <w:tcPr>
            <w:tcW w:w="143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646.791</w:t>
            </w:r>
          </w:p>
        </w:tc>
        <w:tc>
          <w:tcPr>
            <w:tcW w:w="144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783.215</w:t>
            </w:r>
          </w:p>
        </w:tc>
        <w:tc>
          <w:tcPr>
            <w:tcW w:w="268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p>
        </w:tc>
      </w:tr>
      <w:tr>
        <w:trPr/>
        <w:tc>
          <w:tcPr>
            <w:tcW w:w="38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Total cheltuieli (lei)</w:t>
            </w:r>
          </w:p>
        </w:tc>
        <w:tc>
          <w:tcPr>
            <w:tcW w:w="143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2.350.043</w:t>
            </w:r>
          </w:p>
        </w:tc>
        <w:tc>
          <w:tcPr>
            <w:tcW w:w="144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2.577.298</w:t>
            </w:r>
          </w:p>
        </w:tc>
        <w:tc>
          <w:tcPr>
            <w:tcW w:w="268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p>
        </w:tc>
      </w:tr>
      <w:tr>
        <w:trPr/>
        <w:tc>
          <w:tcPr>
            <w:tcW w:w="38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bCs/>
                <w:sz w:val="20"/>
                <w:szCs w:val="20"/>
              </w:rPr>
              <w:t>Pondere chelt. personal</w:t>
            </w:r>
          </w:p>
        </w:tc>
        <w:tc>
          <w:tcPr>
            <w:tcW w:w="143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bCs/>
                <w:sz w:val="20"/>
                <w:szCs w:val="20"/>
              </w:rPr>
              <w:t>27,52%</w:t>
            </w:r>
          </w:p>
        </w:tc>
        <w:tc>
          <w:tcPr>
            <w:tcW w:w="144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bCs/>
                <w:sz w:val="20"/>
                <w:szCs w:val="20"/>
              </w:rPr>
              <w:t>30,39%</w:t>
            </w:r>
          </w:p>
        </w:tc>
        <w:tc>
          <w:tcPr>
            <w:tcW w:w="268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bCs/>
                <w:sz w:val="20"/>
                <w:szCs w:val="20"/>
              </w:rPr>
              <w:t>+2,87 p.p.</w:t>
            </w:r>
          </w:p>
        </w:tc>
      </w:tr>
    </w:tbl>
    <w:p>
      <w:pPr>
        <w:pStyle w:val="Normal"/>
        <w:spacing w:before="80" w:after="200"/>
        <w:jc w:val="start"/>
        <w:rPr/>
      </w:pPr>
      <w:r>
        <w:rPr>
          <w:rFonts w:eastAsia="Times New Roman" w:cs="Times New Roman"/>
          <w:sz w:val="18"/>
          <w:szCs w:val="18"/>
        </w:rPr>
        <w:t>Tabelul 3.9. Ponderea cheltuielilor cu personalul. Sursa: Calcule proprii pe baza F20.</w:t>
      </w:r>
    </w:p>
    <w:p>
      <w:pPr>
        <w:pStyle w:val="Normal"/>
        <w:spacing w:before="60" w:after="60"/>
        <w:rPr/>
      </w:pPr>
      <w:r>
        <w:rPr/>
      </w:r>
    </w:p>
    <w:p>
      <w:pPr>
        <w:pStyle w:val="Normal"/>
        <w:spacing w:lineRule="auto" w:line="300" w:before="100" w:after="100"/>
        <w:ind w:firstLine="720"/>
        <w:rPr/>
      </w:pPr>
      <w:r>
        <w:rPr>
          <w:rFonts w:eastAsia="Times New Roman" w:cs="Times New Roman"/>
          <w:b w:val="false"/>
          <w:bCs w:val="false"/>
          <w:sz w:val="24"/>
          <w:szCs w:val="24"/>
        </w:rPr>
        <w:t>Ponderea cheltuielilor cu personalul în totalul cheltuielilor s-a majorat de la 27,52% la 30,39%, reflectând creșterea mai rapidă a masei salariale față de restul categoriilor de costuri. Această evoluție este tipică perioadelor de extindere a activității sau de aplicare a unor majorări salariale. Deși indicatorul semnalează o presiune crescută din partea costurilor de personal, nivelul de 30,39% rămâne în limite rezonabile pentru sectoarele bazate pe prestarea de servicii. Monitorizarea atentă a acestui indicator în perioadele viitoare este recomandată pentru a preveni o erodare a marjelor.</w:t>
      </w:r>
    </w:p>
    <w:p>
      <w:pPr>
        <w:pStyle w:val="Normal"/>
        <w:spacing w:before="60" w:after="60"/>
        <w:rPr/>
      </w:pPr>
      <w:r>
        <w:rPr/>
      </w:r>
    </w:p>
    <w:p>
      <w:pPr>
        <w:pStyle w:val="Heading2"/>
        <w:spacing w:before="280" w:after="160"/>
        <w:jc w:val="start"/>
        <w:rPr/>
      </w:pPr>
      <w:r>
        <w:rPr>
          <w:rFonts w:eastAsia="Times New Roman" w:cs="Times New Roman" w:ascii="Times New Roman" w:hAnsi="Times New Roman"/>
          <w:b/>
          <w:bCs/>
          <w:sz w:val="26"/>
          <w:szCs w:val="26"/>
        </w:rPr>
        <w:t>3.6. Indicatori de lichiditate</w:t>
      </w:r>
    </w:p>
    <w:p>
      <w:pPr>
        <w:pStyle w:val="Normal"/>
        <w:spacing w:lineRule="auto" w:line="300" w:before="100" w:after="100"/>
        <w:ind w:firstLine="720"/>
        <w:rPr/>
      </w:pPr>
      <w:r>
        <w:rPr>
          <w:rFonts w:eastAsia="Times New Roman" w:cs="Times New Roman"/>
          <w:b w:val="false"/>
          <w:bCs w:val="false"/>
          <w:sz w:val="24"/>
          <w:szCs w:val="24"/>
        </w:rPr>
        <w:t>Lichiditatea reflectă capacitatea entității de a-și onora obligațiile financiare pe termen scurt, utilizând activele circulante disponibile. Este o dimensiune critică a sănătății financiare, întrucât o entitate rentabilă poate totuși intra în dificultate dacă nu poate face față plăților imediate.</w:t>
      </w:r>
    </w:p>
    <w:p>
      <w:pPr>
        <w:pStyle w:val="Normal"/>
        <w:spacing w:before="60" w:after="60"/>
        <w:rPr/>
      </w:pPr>
      <w:r>
        <w:rPr/>
      </w:r>
    </w:p>
    <w:p>
      <w:pPr>
        <w:pStyle w:val="Heading3"/>
        <w:spacing w:before="220" w:after="120"/>
        <w:jc w:val="start"/>
        <w:rPr/>
      </w:pPr>
      <w:r>
        <w:rPr>
          <w:rFonts w:eastAsia="Times New Roman" w:cs="Times New Roman" w:ascii="Times New Roman" w:hAnsi="Times New Roman"/>
          <w:b/>
          <w:bCs/>
          <w:sz w:val="24"/>
          <w:szCs w:val="24"/>
        </w:rPr>
        <w:t>3.6.1. Lichiditatea curentă (generală)</w:t>
      </w:r>
    </w:p>
    <w:p>
      <w:pPr>
        <w:pStyle w:val="Normal"/>
        <w:spacing w:lineRule="auto" w:line="300" w:before="100" w:after="100"/>
        <w:ind w:firstLine="720"/>
        <w:rPr/>
      </w:pPr>
      <w:r>
        <w:rPr>
          <w:rFonts w:eastAsia="Times New Roman" w:cs="Times New Roman"/>
          <w:b w:val="false"/>
          <w:bCs w:val="false"/>
          <w:sz w:val="24"/>
          <w:szCs w:val="24"/>
        </w:rPr>
        <w:t>Formula de calcul: Lichiditate curentă = Active circulante / Datorii curente</w:t>
      </w:r>
    </w:p>
    <w:p>
      <w:pPr>
        <w:pStyle w:val="Normal"/>
        <w:spacing w:before="60" w:after="60"/>
        <w:rPr/>
      </w:pPr>
      <w:r>
        <w:rPr/>
      </w:r>
    </w:p>
    <w:tbl>
      <w:tblPr>
        <w:tblW w:w="9360" w:type="dxa"/>
        <w:jc w:val="start"/>
        <w:tblInd w:w="0" w:type="dxa"/>
        <w:tblLayout w:type="fixed"/>
        <w:tblCellMar>
          <w:top w:w="70" w:type="dxa"/>
          <w:start w:w="100" w:type="dxa"/>
          <w:bottom w:w="70" w:type="dxa"/>
          <w:end w:w="100" w:type="dxa"/>
        </w:tblCellMar>
      </w:tblPr>
      <w:tblGrid>
        <w:gridCol w:w="3800"/>
        <w:gridCol w:w="1439"/>
        <w:gridCol w:w="1441"/>
        <w:gridCol w:w="2680"/>
      </w:tblGrid>
      <w:tr>
        <w:trPr/>
        <w:tc>
          <w:tcPr>
            <w:tcW w:w="3800"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Indicator</w:t>
            </w:r>
          </w:p>
        </w:tc>
        <w:tc>
          <w:tcPr>
            <w:tcW w:w="1439"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2024</w:t>
            </w:r>
          </w:p>
        </w:tc>
        <w:tc>
          <w:tcPr>
            <w:tcW w:w="1441"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2025</w:t>
            </w:r>
          </w:p>
        </w:tc>
        <w:tc>
          <w:tcPr>
            <w:tcW w:w="2680"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Abatere</w:t>
            </w:r>
          </w:p>
        </w:tc>
      </w:tr>
      <w:tr>
        <w:trPr/>
        <w:tc>
          <w:tcPr>
            <w:tcW w:w="38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Active circulante (lei)</w:t>
            </w:r>
          </w:p>
        </w:tc>
        <w:tc>
          <w:tcPr>
            <w:tcW w:w="143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74.571</w:t>
            </w:r>
          </w:p>
        </w:tc>
        <w:tc>
          <w:tcPr>
            <w:tcW w:w="144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116.563</w:t>
            </w:r>
          </w:p>
        </w:tc>
        <w:tc>
          <w:tcPr>
            <w:tcW w:w="268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p>
        </w:tc>
      </w:tr>
      <w:tr>
        <w:trPr/>
        <w:tc>
          <w:tcPr>
            <w:tcW w:w="38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Datorii curente (lei)</w:t>
            </w:r>
          </w:p>
        </w:tc>
        <w:tc>
          <w:tcPr>
            <w:tcW w:w="143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700.364</w:t>
            </w:r>
          </w:p>
        </w:tc>
        <w:tc>
          <w:tcPr>
            <w:tcW w:w="144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762.094</w:t>
            </w:r>
          </w:p>
        </w:tc>
        <w:tc>
          <w:tcPr>
            <w:tcW w:w="268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p>
        </w:tc>
      </w:tr>
      <w:tr>
        <w:trPr/>
        <w:tc>
          <w:tcPr>
            <w:tcW w:w="38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bCs/>
                <w:sz w:val="20"/>
                <w:szCs w:val="20"/>
              </w:rPr>
              <w:t>Lichiditate curentă</w:t>
            </w:r>
          </w:p>
        </w:tc>
        <w:tc>
          <w:tcPr>
            <w:tcW w:w="143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bCs/>
                <w:sz w:val="20"/>
                <w:szCs w:val="20"/>
              </w:rPr>
              <w:t>0,107</w:t>
            </w:r>
          </w:p>
        </w:tc>
        <w:tc>
          <w:tcPr>
            <w:tcW w:w="144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bCs/>
                <w:sz w:val="20"/>
                <w:szCs w:val="20"/>
              </w:rPr>
              <w:t>0,153</w:t>
            </w:r>
          </w:p>
        </w:tc>
        <w:tc>
          <w:tcPr>
            <w:tcW w:w="268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bCs/>
                <w:sz w:val="20"/>
                <w:szCs w:val="20"/>
              </w:rPr>
              <w:t>+0,046</w:t>
            </w:r>
          </w:p>
        </w:tc>
      </w:tr>
    </w:tbl>
    <w:p>
      <w:pPr>
        <w:pStyle w:val="Normal"/>
        <w:spacing w:before="80" w:after="200"/>
        <w:jc w:val="start"/>
        <w:rPr/>
      </w:pPr>
      <w:r>
        <w:rPr>
          <w:rFonts w:eastAsia="Times New Roman" w:cs="Times New Roman"/>
          <w:sz w:val="18"/>
          <w:szCs w:val="18"/>
        </w:rPr>
        <w:t>Tabelul 3.10. Lichiditatea curentă. Sursa: Calcule proprii pe baza F10.</w:t>
      </w:r>
    </w:p>
    <w:p>
      <w:pPr>
        <w:pStyle w:val="Normal"/>
        <w:spacing w:before="60" w:after="60"/>
        <w:rPr/>
      </w:pPr>
      <w:r>
        <w:rPr/>
      </w:r>
    </w:p>
    <w:p>
      <w:pPr>
        <w:pStyle w:val="Normal"/>
        <w:spacing w:lineRule="auto" w:line="300" w:before="100" w:after="100"/>
        <w:ind w:firstLine="720"/>
        <w:rPr/>
      </w:pPr>
      <w:r>
        <w:rPr>
          <w:rFonts w:eastAsia="Times New Roman" w:cs="Times New Roman"/>
          <w:b w:val="false"/>
          <w:bCs w:val="false"/>
          <w:sz w:val="24"/>
          <w:szCs w:val="24"/>
        </w:rPr>
        <w:t>Rata lichidității curente este cel mai utilizat indicator de lichiditate, valorile recomandate în literatura de specialitate situându-se în intervalul [1,2 – 2,0]. Valorile de 0,107 în 2024 și 0,153 în 2025 se situează considerabil sub pragul minim de 1,0, semnalând că datoriile pe termen scurt depășesc cu mult activele circulante disponibile. Această situație este caracteristică entităților cu active preponderent imobilizate și cu finanțare prin datorii comerciale pe termen scurt. Deși îmbunătățirea de la 0,107 la 0,153 este pozitivă în termeni relativi (+43%), distanța față de nivelurile normale rămâne mare și impune măsuri structurale de corecție pe termen mediu.</w:t>
      </w:r>
    </w:p>
    <w:p>
      <w:pPr>
        <w:pStyle w:val="Normal"/>
        <w:spacing w:before="60" w:after="60"/>
        <w:rPr/>
      </w:pPr>
      <w:r>
        <w:rPr/>
      </w:r>
    </w:p>
    <w:p>
      <w:pPr>
        <w:pStyle w:val="Heading3"/>
        <w:spacing w:before="220" w:after="120"/>
        <w:jc w:val="start"/>
        <w:rPr/>
      </w:pPr>
      <w:r>
        <w:rPr>
          <w:rFonts w:eastAsia="Times New Roman" w:cs="Times New Roman" w:ascii="Times New Roman" w:hAnsi="Times New Roman"/>
          <w:b/>
          <w:bCs/>
          <w:sz w:val="24"/>
          <w:szCs w:val="24"/>
        </w:rPr>
        <w:t>3.6.2. Lichiditatea rapidă (testul acid)</w:t>
      </w:r>
    </w:p>
    <w:p>
      <w:pPr>
        <w:pStyle w:val="Normal"/>
        <w:spacing w:lineRule="auto" w:line="300" w:before="100" w:after="100"/>
        <w:ind w:firstLine="720"/>
        <w:rPr/>
      </w:pPr>
      <w:r>
        <w:rPr>
          <w:rFonts w:eastAsia="Times New Roman" w:cs="Times New Roman"/>
          <w:b w:val="false"/>
          <w:bCs w:val="false"/>
          <w:sz w:val="24"/>
          <w:szCs w:val="24"/>
        </w:rPr>
        <w:t>Formula de calcul: Lichiditate rapidă = (Active circulante – Stocuri) / Datorii curente</w:t>
      </w:r>
    </w:p>
    <w:p>
      <w:pPr>
        <w:pStyle w:val="Normal"/>
        <w:spacing w:before="60" w:after="60"/>
        <w:rPr/>
      </w:pPr>
      <w:r>
        <w:rPr/>
      </w:r>
    </w:p>
    <w:tbl>
      <w:tblPr>
        <w:tblW w:w="9360" w:type="dxa"/>
        <w:jc w:val="start"/>
        <w:tblInd w:w="0" w:type="dxa"/>
        <w:tblLayout w:type="fixed"/>
        <w:tblCellMar>
          <w:top w:w="70" w:type="dxa"/>
          <w:start w:w="100" w:type="dxa"/>
          <w:bottom w:w="70" w:type="dxa"/>
          <w:end w:w="100" w:type="dxa"/>
        </w:tblCellMar>
      </w:tblPr>
      <w:tblGrid>
        <w:gridCol w:w="3800"/>
        <w:gridCol w:w="1439"/>
        <w:gridCol w:w="1441"/>
        <w:gridCol w:w="2680"/>
      </w:tblGrid>
      <w:tr>
        <w:trPr/>
        <w:tc>
          <w:tcPr>
            <w:tcW w:w="3800"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Indicator</w:t>
            </w:r>
          </w:p>
        </w:tc>
        <w:tc>
          <w:tcPr>
            <w:tcW w:w="1439"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2024</w:t>
            </w:r>
          </w:p>
        </w:tc>
        <w:tc>
          <w:tcPr>
            <w:tcW w:w="1441"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2025</w:t>
            </w:r>
          </w:p>
        </w:tc>
        <w:tc>
          <w:tcPr>
            <w:tcW w:w="2680"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Abatere</w:t>
            </w:r>
          </w:p>
        </w:tc>
      </w:tr>
      <w:tr>
        <w:trPr/>
        <w:tc>
          <w:tcPr>
            <w:tcW w:w="38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Active circulante – Stocuri (lei)</w:t>
            </w:r>
          </w:p>
        </w:tc>
        <w:tc>
          <w:tcPr>
            <w:tcW w:w="143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37.941</w:t>
            </w:r>
          </w:p>
        </w:tc>
        <w:tc>
          <w:tcPr>
            <w:tcW w:w="144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48.971</w:t>
            </w:r>
          </w:p>
        </w:tc>
        <w:tc>
          <w:tcPr>
            <w:tcW w:w="268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p>
        </w:tc>
      </w:tr>
      <w:tr>
        <w:trPr/>
        <w:tc>
          <w:tcPr>
            <w:tcW w:w="38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Datorii curente (lei)</w:t>
            </w:r>
          </w:p>
        </w:tc>
        <w:tc>
          <w:tcPr>
            <w:tcW w:w="143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700.364</w:t>
            </w:r>
          </w:p>
        </w:tc>
        <w:tc>
          <w:tcPr>
            <w:tcW w:w="144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762.094</w:t>
            </w:r>
          </w:p>
        </w:tc>
        <w:tc>
          <w:tcPr>
            <w:tcW w:w="268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p>
        </w:tc>
      </w:tr>
      <w:tr>
        <w:trPr/>
        <w:tc>
          <w:tcPr>
            <w:tcW w:w="38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bCs/>
                <w:sz w:val="20"/>
                <w:szCs w:val="20"/>
              </w:rPr>
              <w:t>Lichiditate rapidă</w:t>
            </w:r>
          </w:p>
        </w:tc>
        <w:tc>
          <w:tcPr>
            <w:tcW w:w="143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bCs/>
                <w:sz w:val="20"/>
                <w:szCs w:val="20"/>
              </w:rPr>
              <w:t>0,054</w:t>
            </w:r>
          </w:p>
        </w:tc>
        <w:tc>
          <w:tcPr>
            <w:tcW w:w="144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bCs/>
                <w:sz w:val="20"/>
                <w:szCs w:val="20"/>
              </w:rPr>
              <w:t>0,064</w:t>
            </w:r>
          </w:p>
        </w:tc>
        <w:tc>
          <w:tcPr>
            <w:tcW w:w="268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bCs/>
                <w:sz w:val="20"/>
                <w:szCs w:val="20"/>
              </w:rPr>
              <w:t>+0,010</w:t>
            </w:r>
          </w:p>
        </w:tc>
      </w:tr>
    </w:tbl>
    <w:p>
      <w:pPr>
        <w:pStyle w:val="Normal"/>
        <w:spacing w:before="80" w:after="200"/>
        <w:jc w:val="start"/>
        <w:rPr/>
      </w:pPr>
      <w:r>
        <w:rPr>
          <w:rFonts w:eastAsia="Times New Roman" w:cs="Times New Roman"/>
          <w:sz w:val="18"/>
          <w:szCs w:val="18"/>
        </w:rPr>
        <w:t>Tabelul 3.11. Lichiditatea rapidă. Sursa: Calcule proprii pe baza F10.</w:t>
      </w:r>
    </w:p>
    <w:p>
      <w:pPr>
        <w:pStyle w:val="Normal"/>
        <w:spacing w:before="60" w:after="60"/>
        <w:rPr/>
      </w:pPr>
      <w:r>
        <w:rPr/>
      </w:r>
    </w:p>
    <w:p>
      <w:pPr>
        <w:pStyle w:val="Normal"/>
        <w:spacing w:lineRule="auto" w:line="300" w:before="100" w:after="100"/>
        <w:ind w:firstLine="720"/>
        <w:rPr/>
      </w:pPr>
      <w:r>
        <w:rPr>
          <w:rFonts w:eastAsia="Times New Roman" w:cs="Times New Roman"/>
          <w:b w:val="false"/>
          <w:bCs w:val="false"/>
          <w:sz w:val="24"/>
          <w:szCs w:val="24"/>
        </w:rPr>
        <w:t>Testul acid elimină stocurile din calculul activelor lichide, deoarece acestea pot necesita timp pentru a fi transformate în numerar. Nivelul de 0,064 în 2025 – față de 0,054 în 2024 – se situează extrem de departe de pragul optim de 0,8–1,0. Diferența minimă față de lichiditatea curentă (0,153 vs. 0,064) este explicată de ponderea semnificativă a stocurilor în activele circulante: stocurile de 67.592 lei reprezintă 58% din activele circulante totale de 116.563 lei. Această structură dezechilibrată între stocuri și creanțe/disponibilități reduce și mai mult capacitatea de plată imediată.</w:t>
      </w:r>
    </w:p>
    <w:p>
      <w:pPr>
        <w:pStyle w:val="Normal"/>
        <w:spacing w:before="60" w:after="60"/>
        <w:rPr/>
      </w:pPr>
      <w:r>
        <w:rPr/>
      </w:r>
    </w:p>
    <w:p>
      <w:pPr>
        <w:pStyle w:val="Heading3"/>
        <w:spacing w:before="220" w:after="120"/>
        <w:jc w:val="start"/>
        <w:rPr/>
      </w:pPr>
      <w:r>
        <w:rPr>
          <w:rFonts w:eastAsia="Times New Roman" w:cs="Times New Roman" w:ascii="Times New Roman" w:hAnsi="Times New Roman"/>
          <w:b/>
          <w:bCs/>
          <w:sz w:val="24"/>
          <w:szCs w:val="24"/>
        </w:rPr>
        <w:t>3.6.3. Lichiditatea imediată</w:t>
      </w:r>
    </w:p>
    <w:p>
      <w:pPr>
        <w:pStyle w:val="Normal"/>
        <w:spacing w:lineRule="auto" w:line="300" w:before="100" w:after="100"/>
        <w:ind w:firstLine="720"/>
        <w:rPr/>
      </w:pPr>
      <w:r>
        <w:rPr>
          <w:rFonts w:eastAsia="Times New Roman" w:cs="Times New Roman"/>
          <w:b w:val="false"/>
          <w:bCs w:val="false"/>
          <w:sz w:val="24"/>
          <w:szCs w:val="24"/>
        </w:rPr>
        <w:t>Formula de calcul: Lichiditate imediată = Disponibilități bănești / Datorii curente</w:t>
      </w:r>
    </w:p>
    <w:p>
      <w:pPr>
        <w:pStyle w:val="Normal"/>
        <w:spacing w:before="60" w:after="60"/>
        <w:rPr/>
      </w:pPr>
      <w:r>
        <w:rPr/>
      </w:r>
    </w:p>
    <w:tbl>
      <w:tblPr>
        <w:tblW w:w="9360" w:type="dxa"/>
        <w:jc w:val="start"/>
        <w:tblInd w:w="0" w:type="dxa"/>
        <w:tblLayout w:type="fixed"/>
        <w:tblCellMar>
          <w:top w:w="70" w:type="dxa"/>
          <w:start w:w="100" w:type="dxa"/>
          <w:bottom w:w="70" w:type="dxa"/>
          <w:end w:w="100" w:type="dxa"/>
        </w:tblCellMar>
      </w:tblPr>
      <w:tblGrid>
        <w:gridCol w:w="3800"/>
        <w:gridCol w:w="1439"/>
        <w:gridCol w:w="1441"/>
        <w:gridCol w:w="2680"/>
      </w:tblGrid>
      <w:tr>
        <w:trPr/>
        <w:tc>
          <w:tcPr>
            <w:tcW w:w="3800"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Indicator</w:t>
            </w:r>
          </w:p>
        </w:tc>
        <w:tc>
          <w:tcPr>
            <w:tcW w:w="1439"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2024</w:t>
            </w:r>
          </w:p>
        </w:tc>
        <w:tc>
          <w:tcPr>
            <w:tcW w:w="1441"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2025</w:t>
            </w:r>
          </w:p>
        </w:tc>
        <w:tc>
          <w:tcPr>
            <w:tcW w:w="2680"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Abatere</w:t>
            </w:r>
          </w:p>
        </w:tc>
      </w:tr>
      <w:tr>
        <w:trPr/>
        <w:tc>
          <w:tcPr>
            <w:tcW w:w="38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Disponibilități bănești (lei)</w:t>
            </w:r>
          </w:p>
        </w:tc>
        <w:tc>
          <w:tcPr>
            <w:tcW w:w="143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10.518</w:t>
            </w:r>
          </w:p>
        </w:tc>
        <w:tc>
          <w:tcPr>
            <w:tcW w:w="144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27.670</w:t>
            </w:r>
          </w:p>
        </w:tc>
        <w:tc>
          <w:tcPr>
            <w:tcW w:w="268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p>
        </w:tc>
      </w:tr>
      <w:tr>
        <w:trPr/>
        <w:tc>
          <w:tcPr>
            <w:tcW w:w="38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Datorii curente (lei)</w:t>
            </w:r>
          </w:p>
        </w:tc>
        <w:tc>
          <w:tcPr>
            <w:tcW w:w="143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700.364</w:t>
            </w:r>
          </w:p>
        </w:tc>
        <w:tc>
          <w:tcPr>
            <w:tcW w:w="144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762.094</w:t>
            </w:r>
          </w:p>
        </w:tc>
        <w:tc>
          <w:tcPr>
            <w:tcW w:w="268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p>
        </w:tc>
      </w:tr>
      <w:tr>
        <w:trPr/>
        <w:tc>
          <w:tcPr>
            <w:tcW w:w="38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bCs/>
                <w:sz w:val="20"/>
                <w:szCs w:val="20"/>
              </w:rPr>
              <w:t>Lichiditate imediată</w:t>
            </w:r>
          </w:p>
        </w:tc>
        <w:tc>
          <w:tcPr>
            <w:tcW w:w="143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bCs/>
                <w:sz w:val="20"/>
                <w:szCs w:val="20"/>
              </w:rPr>
              <w:t>0,015</w:t>
            </w:r>
          </w:p>
        </w:tc>
        <w:tc>
          <w:tcPr>
            <w:tcW w:w="144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bCs/>
                <w:sz w:val="20"/>
                <w:szCs w:val="20"/>
              </w:rPr>
              <w:t>0,036</w:t>
            </w:r>
          </w:p>
        </w:tc>
        <w:tc>
          <w:tcPr>
            <w:tcW w:w="268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bCs/>
                <w:sz w:val="20"/>
                <w:szCs w:val="20"/>
              </w:rPr>
              <w:t>+0,021</w:t>
            </w:r>
          </w:p>
        </w:tc>
      </w:tr>
    </w:tbl>
    <w:p>
      <w:pPr>
        <w:pStyle w:val="Normal"/>
        <w:spacing w:before="80" w:after="200"/>
        <w:jc w:val="start"/>
        <w:rPr/>
      </w:pPr>
      <w:r>
        <w:rPr>
          <w:rFonts w:eastAsia="Times New Roman" w:cs="Times New Roman"/>
          <w:sz w:val="18"/>
          <w:szCs w:val="18"/>
        </w:rPr>
        <w:t>Tabelul 3.12. Lichiditatea imediată. Sursa: Calcule proprii pe baza F10.</w:t>
      </w:r>
    </w:p>
    <w:p>
      <w:pPr>
        <w:pStyle w:val="Normal"/>
        <w:spacing w:before="60" w:after="60"/>
        <w:rPr/>
      </w:pPr>
      <w:r>
        <w:rPr/>
      </w:r>
    </w:p>
    <w:p>
      <w:pPr>
        <w:pStyle w:val="Normal"/>
        <w:spacing w:lineRule="auto" w:line="300" w:before="100" w:after="100"/>
        <w:ind w:firstLine="720"/>
        <w:rPr/>
      </w:pPr>
      <w:r>
        <w:rPr>
          <w:rFonts w:eastAsia="Times New Roman" w:cs="Times New Roman"/>
          <w:b w:val="false"/>
          <w:bCs w:val="false"/>
          <w:sz w:val="24"/>
          <w:szCs w:val="24"/>
        </w:rPr>
        <w:t>Lichiditatea imediată reprezintă cel mai restrictiv test de capacitate de plată, luând în calcul exclusiv disponibilitățile bănești – numerarul și soldurile conturilor bancare. Dublarea disponibilităților de la 10.518 lei la 27.670 lei (+163%) este un progres real, reflectat în creșterea lichidității imediate de la 0,015 la 0,036. Cu toate acestea, valorile rămân extrem de scăzute: disponibilitățile acoperă mai puțin de 4% din datoriile curente. Aceasta nu înseamnă neapărat că entitatea se confruntă cu o criză imediată de lichiditate – entitățile cu contracte comerciale regulate și cu furnizori fideli pot funcționa cu disponibilități reduse dacă fluxurile de intrare sunt previzibile –, dar semnalează o marjă de siguranță foarte limitată la perturbări neprevăzute.</w:t>
      </w:r>
    </w:p>
    <w:p>
      <w:pPr>
        <w:pStyle w:val="Normal"/>
        <w:spacing w:before="60" w:after="60"/>
        <w:rPr/>
      </w:pPr>
      <w:r>
        <w:rPr/>
      </w:r>
    </w:p>
    <w:p>
      <w:pPr>
        <w:pStyle w:val="Heading2"/>
        <w:spacing w:before="280" w:after="160"/>
        <w:jc w:val="start"/>
        <w:rPr/>
      </w:pPr>
      <w:r>
        <w:rPr>
          <w:rFonts w:eastAsia="Times New Roman" w:cs="Times New Roman" w:ascii="Times New Roman" w:hAnsi="Times New Roman"/>
          <w:b/>
          <w:bCs/>
          <w:sz w:val="26"/>
          <w:szCs w:val="26"/>
        </w:rPr>
        <w:t>3.7. Indicatori de solvabilitate și structură financiară</w:t>
      </w:r>
    </w:p>
    <w:p>
      <w:pPr>
        <w:pStyle w:val="Normal"/>
        <w:spacing w:lineRule="auto" w:line="300" w:before="100" w:after="100"/>
        <w:ind w:firstLine="720"/>
        <w:rPr/>
      </w:pPr>
      <w:r>
        <w:rPr>
          <w:rFonts w:eastAsia="Times New Roman" w:cs="Times New Roman"/>
          <w:b w:val="false"/>
          <w:bCs w:val="false"/>
          <w:sz w:val="24"/>
          <w:szCs w:val="24"/>
        </w:rPr>
        <w:t>Solvabilitatea evaluează capacitatea structurală a entității de a-și onora toate obligațiile – pe termen scurt și lung – din activele disponibile. Spre deosebire de lichiditate, care are un orizont imediat, solvabilitatea reflectă soliditatea financiară pe termen mediu și lung.</w:t>
      </w:r>
    </w:p>
    <w:p>
      <w:pPr>
        <w:pStyle w:val="Normal"/>
        <w:spacing w:before="60" w:after="60"/>
        <w:rPr/>
      </w:pPr>
      <w:r>
        <w:rPr/>
      </w:r>
    </w:p>
    <w:p>
      <w:pPr>
        <w:pStyle w:val="Heading3"/>
        <w:spacing w:before="220" w:after="120"/>
        <w:jc w:val="start"/>
        <w:rPr/>
      </w:pPr>
      <w:r>
        <w:rPr>
          <w:rFonts w:eastAsia="Times New Roman" w:cs="Times New Roman" w:ascii="Times New Roman" w:hAnsi="Times New Roman"/>
          <w:b/>
          <w:bCs/>
          <w:sz w:val="24"/>
          <w:szCs w:val="24"/>
        </w:rPr>
        <w:t>3.7.1. Solvabilitatea generală</w:t>
      </w:r>
    </w:p>
    <w:p>
      <w:pPr>
        <w:pStyle w:val="Normal"/>
        <w:spacing w:lineRule="auto" w:line="300" w:before="100" w:after="100"/>
        <w:ind w:firstLine="720"/>
        <w:rPr/>
      </w:pPr>
      <w:r>
        <w:rPr>
          <w:rFonts w:eastAsia="Times New Roman" w:cs="Times New Roman"/>
          <w:b w:val="false"/>
          <w:bCs w:val="false"/>
          <w:sz w:val="24"/>
          <w:szCs w:val="24"/>
        </w:rPr>
        <w:t>Formula de calcul: Solvabilitate generală = (Total active / Total datorii) × 100</w:t>
      </w:r>
    </w:p>
    <w:p>
      <w:pPr>
        <w:pStyle w:val="Normal"/>
        <w:spacing w:before="60" w:after="60"/>
        <w:rPr/>
      </w:pPr>
      <w:r>
        <w:rPr/>
      </w:r>
    </w:p>
    <w:tbl>
      <w:tblPr>
        <w:tblW w:w="9360" w:type="dxa"/>
        <w:jc w:val="start"/>
        <w:tblInd w:w="0" w:type="dxa"/>
        <w:tblLayout w:type="fixed"/>
        <w:tblCellMar>
          <w:top w:w="70" w:type="dxa"/>
          <w:start w:w="100" w:type="dxa"/>
          <w:bottom w:w="70" w:type="dxa"/>
          <w:end w:w="100" w:type="dxa"/>
        </w:tblCellMar>
      </w:tblPr>
      <w:tblGrid>
        <w:gridCol w:w="3800"/>
        <w:gridCol w:w="1439"/>
        <w:gridCol w:w="1441"/>
        <w:gridCol w:w="2680"/>
      </w:tblGrid>
      <w:tr>
        <w:trPr/>
        <w:tc>
          <w:tcPr>
            <w:tcW w:w="3800"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Indicator</w:t>
            </w:r>
          </w:p>
        </w:tc>
        <w:tc>
          <w:tcPr>
            <w:tcW w:w="1439"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2024</w:t>
            </w:r>
          </w:p>
        </w:tc>
        <w:tc>
          <w:tcPr>
            <w:tcW w:w="1441"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2025</w:t>
            </w:r>
          </w:p>
        </w:tc>
        <w:tc>
          <w:tcPr>
            <w:tcW w:w="2680"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Abatere</w:t>
            </w:r>
          </w:p>
        </w:tc>
      </w:tr>
      <w:tr>
        <w:trPr/>
        <w:tc>
          <w:tcPr>
            <w:tcW w:w="38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Total active (lei)</w:t>
            </w:r>
          </w:p>
        </w:tc>
        <w:tc>
          <w:tcPr>
            <w:tcW w:w="143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1.365.413</w:t>
            </w:r>
          </w:p>
        </w:tc>
        <w:tc>
          <w:tcPr>
            <w:tcW w:w="144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1.447.772</w:t>
            </w:r>
          </w:p>
        </w:tc>
        <w:tc>
          <w:tcPr>
            <w:tcW w:w="268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p>
        </w:tc>
      </w:tr>
      <w:tr>
        <w:trPr/>
        <w:tc>
          <w:tcPr>
            <w:tcW w:w="38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Total datorii (lei)</w:t>
            </w:r>
          </w:p>
        </w:tc>
        <w:tc>
          <w:tcPr>
            <w:tcW w:w="143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842.942</w:t>
            </w:r>
          </w:p>
        </w:tc>
        <w:tc>
          <w:tcPr>
            <w:tcW w:w="144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843.707</w:t>
            </w:r>
          </w:p>
        </w:tc>
        <w:tc>
          <w:tcPr>
            <w:tcW w:w="268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p>
        </w:tc>
      </w:tr>
      <w:tr>
        <w:trPr/>
        <w:tc>
          <w:tcPr>
            <w:tcW w:w="38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bCs/>
                <w:sz w:val="20"/>
                <w:szCs w:val="20"/>
              </w:rPr>
              <w:t>Solvabilitate generală</w:t>
            </w:r>
          </w:p>
        </w:tc>
        <w:tc>
          <w:tcPr>
            <w:tcW w:w="143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bCs/>
                <w:sz w:val="20"/>
                <w:szCs w:val="20"/>
              </w:rPr>
              <w:t>162,0%</w:t>
            </w:r>
          </w:p>
        </w:tc>
        <w:tc>
          <w:tcPr>
            <w:tcW w:w="144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bCs/>
                <w:sz w:val="20"/>
                <w:szCs w:val="20"/>
              </w:rPr>
              <w:t>171,6%</w:t>
            </w:r>
          </w:p>
        </w:tc>
        <w:tc>
          <w:tcPr>
            <w:tcW w:w="268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bCs/>
                <w:sz w:val="20"/>
                <w:szCs w:val="20"/>
              </w:rPr>
              <w:t>+9,6 p.p.</w:t>
            </w:r>
          </w:p>
        </w:tc>
      </w:tr>
    </w:tbl>
    <w:p>
      <w:pPr>
        <w:pStyle w:val="Normal"/>
        <w:spacing w:before="80" w:after="200"/>
        <w:jc w:val="start"/>
        <w:rPr/>
      </w:pPr>
      <w:r>
        <w:rPr>
          <w:rFonts w:eastAsia="Times New Roman" w:cs="Times New Roman"/>
          <w:sz w:val="18"/>
          <w:szCs w:val="18"/>
        </w:rPr>
        <w:t>Tabelul 3.13. Solvabilitatea generală. Sursa: Calcule proprii pe baza F10.</w:t>
      </w:r>
    </w:p>
    <w:p>
      <w:pPr>
        <w:pStyle w:val="Normal"/>
        <w:spacing w:before="60" w:after="60"/>
        <w:rPr/>
      </w:pPr>
      <w:r>
        <w:rPr/>
      </w:r>
    </w:p>
    <w:p>
      <w:pPr>
        <w:pStyle w:val="Normal"/>
        <w:spacing w:lineRule="auto" w:line="300" w:before="100" w:after="100"/>
        <w:ind w:firstLine="720"/>
        <w:rPr/>
      </w:pPr>
      <w:r>
        <w:rPr>
          <w:rFonts w:eastAsia="Times New Roman" w:cs="Times New Roman"/>
          <w:b w:val="false"/>
          <w:bCs w:val="false"/>
          <w:sz w:val="24"/>
          <w:szCs w:val="24"/>
        </w:rPr>
        <w:t>Solvabilitatea generală indică de câte ori activele totale ale entității acoperă datoriile totale. O valoare superioară pragului de 100% semnifică faptul că entitatea are suficiente active pentru a-și achita integral toate obligațiile față de terți. Valoarea de 162,0% în 2024 și de 171,6% în 2025 plasează entitatea în zona de siguranță structurală: activele depășesc datoriile cu 62%, respectiv 71,6%. Creșterea cu 9,6 puncte procentuale este determinată de creșterea activelor totale cu 6,1% în condițiile menținerii practic constante a datoriilor totale (care au crescut cu doar 0,09%).</w:t>
      </w:r>
    </w:p>
    <w:p>
      <w:pPr>
        <w:pStyle w:val="Normal"/>
        <w:spacing w:before="60" w:after="60"/>
        <w:rPr/>
      </w:pPr>
      <w:r>
        <w:rPr/>
      </w:r>
    </w:p>
    <w:p>
      <w:pPr>
        <w:pStyle w:val="Heading3"/>
        <w:spacing w:before="220" w:after="120"/>
        <w:jc w:val="start"/>
        <w:rPr/>
      </w:pPr>
      <w:r>
        <w:rPr>
          <w:rFonts w:eastAsia="Times New Roman" w:cs="Times New Roman" w:ascii="Times New Roman" w:hAnsi="Times New Roman"/>
          <w:b/>
          <w:bCs/>
          <w:sz w:val="24"/>
          <w:szCs w:val="24"/>
        </w:rPr>
        <w:t>3.7.2. Gradul de îndatorare</w:t>
      </w:r>
    </w:p>
    <w:p>
      <w:pPr>
        <w:pStyle w:val="Normal"/>
        <w:spacing w:lineRule="auto" w:line="300" w:before="100" w:after="100"/>
        <w:ind w:firstLine="720"/>
        <w:rPr/>
      </w:pPr>
      <w:r>
        <w:rPr>
          <w:rFonts w:eastAsia="Times New Roman" w:cs="Times New Roman"/>
          <w:b w:val="false"/>
          <w:bCs w:val="false"/>
          <w:sz w:val="24"/>
          <w:szCs w:val="24"/>
        </w:rPr>
        <w:t>Formula de calcul: Grad de îndatorare = (Total datorii / Total active) × 100</w:t>
      </w:r>
    </w:p>
    <w:p>
      <w:pPr>
        <w:pStyle w:val="Normal"/>
        <w:spacing w:before="60" w:after="60"/>
        <w:rPr/>
      </w:pPr>
      <w:r>
        <w:rPr/>
      </w:r>
    </w:p>
    <w:tbl>
      <w:tblPr>
        <w:tblW w:w="9360" w:type="dxa"/>
        <w:jc w:val="start"/>
        <w:tblInd w:w="0" w:type="dxa"/>
        <w:tblLayout w:type="fixed"/>
        <w:tblCellMar>
          <w:top w:w="70" w:type="dxa"/>
          <w:start w:w="100" w:type="dxa"/>
          <w:bottom w:w="70" w:type="dxa"/>
          <w:end w:w="100" w:type="dxa"/>
        </w:tblCellMar>
      </w:tblPr>
      <w:tblGrid>
        <w:gridCol w:w="3800"/>
        <w:gridCol w:w="1439"/>
        <w:gridCol w:w="1441"/>
        <w:gridCol w:w="2680"/>
      </w:tblGrid>
      <w:tr>
        <w:trPr/>
        <w:tc>
          <w:tcPr>
            <w:tcW w:w="3800"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Indicator</w:t>
            </w:r>
          </w:p>
        </w:tc>
        <w:tc>
          <w:tcPr>
            <w:tcW w:w="1439"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2024</w:t>
            </w:r>
          </w:p>
        </w:tc>
        <w:tc>
          <w:tcPr>
            <w:tcW w:w="1441"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2025</w:t>
            </w:r>
          </w:p>
        </w:tc>
        <w:tc>
          <w:tcPr>
            <w:tcW w:w="2680"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Abatere</w:t>
            </w:r>
          </w:p>
        </w:tc>
      </w:tr>
      <w:tr>
        <w:trPr/>
        <w:tc>
          <w:tcPr>
            <w:tcW w:w="38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Total datorii (lei)</w:t>
            </w:r>
          </w:p>
        </w:tc>
        <w:tc>
          <w:tcPr>
            <w:tcW w:w="143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842.942</w:t>
            </w:r>
          </w:p>
        </w:tc>
        <w:tc>
          <w:tcPr>
            <w:tcW w:w="144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843.707</w:t>
            </w:r>
          </w:p>
        </w:tc>
        <w:tc>
          <w:tcPr>
            <w:tcW w:w="268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p>
        </w:tc>
      </w:tr>
      <w:tr>
        <w:trPr/>
        <w:tc>
          <w:tcPr>
            <w:tcW w:w="38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Total active (lei)</w:t>
            </w:r>
          </w:p>
        </w:tc>
        <w:tc>
          <w:tcPr>
            <w:tcW w:w="143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1.365.413</w:t>
            </w:r>
          </w:p>
        </w:tc>
        <w:tc>
          <w:tcPr>
            <w:tcW w:w="144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1.447.772</w:t>
            </w:r>
          </w:p>
        </w:tc>
        <w:tc>
          <w:tcPr>
            <w:tcW w:w="268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p>
        </w:tc>
      </w:tr>
      <w:tr>
        <w:trPr/>
        <w:tc>
          <w:tcPr>
            <w:tcW w:w="38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bCs/>
                <w:sz w:val="20"/>
                <w:szCs w:val="20"/>
              </w:rPr>
              <w:t>Grad de îndatorare</w:t>
            </w:r>
          </w:p>
        </w:tc>
        <w:tc>
          <w:tcPr>
            <w:tcW w:w="143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bCs/>
                <w:sz w:val="20"/>
                <w:szCs w:val="20"/>
              </w:rPr>
              <w:t>61,7%</w:t>
            </w:r>
          </w:p>
        </w:tc>
        <w:tc>
          <w:tcPr>
            <w:tcW w:w="144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bCs/>
                <w:sz w:val="20"/>
                <w:szCs w:val="20"/>
              </w:rPr>
              <w:t>58,3%</w:t>
            </w:r>
          </w:p>
        </w:tc>
        <w:tc>
          <w:tcPr>
            <w:tcW w:w="268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bCs/>
                <w:sz w:val="20"/>
                <w:szCs w:val="20"/>
              </w:rPr>
              <w:t>–</w:t>
            </w:r>
            <w:r>
              <w:rPr>
                <w:rFonts w:eastAsia="Times New Roman" w:cs="Times New Roman"/>
                <w:b/>
                <w:bCs/>
                <w:sz w:val="20"/>
                <w:szCs w:val="20"/>
              </w:rPr>
              <w:t>3,4 p.p.</w:t>
            </w:r>
          </w:p>
        </w:tc>
      </w:tr>
    </w:tbl>
    <w:p>
      <w:pPr>
        <w:pStyle w:val="Normal"/>
        <w:spacing w:before="80" w:after="200"/>
        <w:jc w:val="start"/>
        <w:rPr/>
      </w:pPr>
      <w:r>
        <w:rPr>
          <w:rFonts w:eastAsia="Times New Roman" w:cs="Times New Roman"/>
          <w:sz w:val="18"/>
          <w:szCs w:val="18"/>
        </w:rPr>
        <w:t>Tabelul 3.14. Gradul de îndatorare. Sursa: Calcule proprii pe baza F10.</w:t>
      </w:r>
    </w:p>
    <w:p>
      <w:pPr>
        <w:pStyle w:val="Normal"/>
        <w:spacing w:before="60" w:after="60"/>
        <w:rPr/>
      </w:pPr>
      <w:r>
        <w:rPr/>
      </w:r>
    </w:p>
    <w:p>
      <w:pPr>
        <w:pStyle w:val="Normal"/>
        <w:spacing w:lineRule="auto" w:line="300" w:before="100" w:after="100"/>
        <w:ind w:firstLine="720"/>
        <w:rPr/>
      </w:pPr>
      <w:r>
        <w:rPr>
          <w:rFonts w:eastAsia="Times New Roman" w:cs="Times New Roman"/>
          <w:b w:val="false"/>
          <w:bCs w:val="false"/>
          <w:sz w:val="24"/>
          <w:szCs w:val="24"/>
        </w:rPr>
        <w:t>Gradul de îndatorare exprimă proporția activelor finanțate din surse externe. Nivelul de 58,3% în 2025 – față de 61,7% în 2024 – rămâne ridicat comparativ cu pragul optim de sub 50% recomandat în practica financiară, dar direcția de evoluție este favorabilă. Reducerea cu 3,4 puncte procentuale demonstrează că entitatea avansează treptat spre o structură de finanțare mai echilibrată. Principalul factor al acestei reduceri a fost creșterea bazei de active prin valorificarea profitului curent, în condițiile menținerii relativ constante a datoriilor totale.</w:t>
      </w:r>
    </w:p>
    <w:p>
      <w:pPr>
        <w:pStyle w:val="Normal"/>
        <w:spacing w:before="60" w:after="60"/>
        <w:rPr/>
      </w:pPr>
      <w:r>
        <w:rPr/>
      </w:r>
    </w:p>
    <w:p>
      <w:pPr>
        <w:pStyle w:val="Heading3"/>
        <w:spacing w:before="220" w:after="120"/>
        <w:jc w:val="start"/>
        <w:rPr/>
      </w:pPr>
      <w:r>
        <w:rPr>
          <w:rFonts w:eastAsia="Times New Roman" w:cs="Times New Roman" w:ascii="Times New Roman" w:hAnsi="Times New Roman"/>
          <w:b/>
          <w:bCs/>
          <w:sz w:val="24"/>
          <w:szCs w:val="24"/>
        </w:rPr>
        <w:t>3.7.3. Rata autonomiei financiare</w:t>
      </w:r>
    </w:p>
    <w:p>
      <w:pPr>
        <w:pStyle w:val="Normal"/>
        <w:spacing w:lineRule="auto" w:line="300" w:before="100" w:after="100"/>
        <w:ind w:firstLine="720"/>
        <w:rPr/>
      </w:pPr>
      <w:r>
        <w:rPr>
          <w:rFonts w:eastAsia="Times New Roman" w:cs="Times New Roman"/>
          <w:b w:val="false"/>
          <w:bCs w:val="false"/>
          <w:sz w:val="24"/>
          <w:szCs w:val="24"/>
        </w:rPr>
        <w:t>Formula de calcul: Autonomie financiară = (Capitaluri proprii / Total active) × 100</w:t>
      </w:r>
    </w:p>
    <w:p>
      <w:pPr>
        <w:pStyle w:val="Normal"/>
        <w:spacing w:before="60" w:after="60"/>
        <w:rPr/>
      </w:pPr>
      <w:r>
        <w:rPr/>
      </w:r>
    </w:p>
    <w:tbl>
      <w:tblPr>
        <w:tblW w:w="9360" w:type="dxa"/>
        <w:jc w:val="start"/>
        <w:tblInd w:w="0" w:type="dxa"/>
        <w:tblLayout w:type="fixed"/>
        <w:tblCellMar>
          <w:top w:w="70" w:type="dxa"/>
          <w:start w:w="100" w:type="dxa"/>
          <w:bottom w:w="70" w:type="dxa"/>
          <w:end w:w="100" w:type="dxa"/>
        </w:tblCellMar>
      </w:tblPr>
      <w:tblGrid>
        <w:gridCol w:w="3800"/>
        <w:gridCol w:w="1439"/>
        <w:gridCol w:w="1441"/>
        <w:gridCol w:w="2680"/>
      </w:tblGrid>
      <w:tr>
        <w:trPr/>
        <w:tc>
          <w:tcPr>
            <w:tcW w:w="3800"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Indicator</w:t>
            </w:r>
          </w:p>
        </w:tc>
        <w:tc>
          <w:tcPr>
            <w:tcW w:w="1439"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2024</w:t>
            </w:r>
          </w:p>
        </w:tc>
        <w:tc>
          <w:tcPr>
            <w:tcW w:w="1441"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2025</w:t>
            </w:r>
          </w:p>
        </w:tc>
        <w:tc>
          <w:tcPr>
            <w:tcW w:w="2680"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Abatere</w:t>
            </w:r>
          </w:p>
        </w:tc>
      </w:tr>
      <w:tr>
        <w:trPr/>
        <w:tc>
          <w:tcPr>
            <w:tcW w:w="38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Capitaluri proprii (lei)</w:t>
            </w:r>
          </w:p>
        </w:tc>
        <w:tc>
          <w:tcPr>
            <w:tcW w:w="143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522.471</w:t>
            </w:r>
          </w:p>
        </w:tc>
        <w:tc>
          <w:tcPr>
            <w:tcW w:w="144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604.324</w:t>
            </w:r>
          </w:p>
        </w:tc>
        <w:tc>
          <w:tcPr>
            <w:tcW w:w="268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p>
        </w:tc>
      </w:tr>
      <w:tr>
        <w:trPr/>
        <w:tc>
          <w:tcPr>
            <w:tcW w:w="38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Total active (lei)</w:t>
            </w:r>
          </w:p>
        </w:tc>
        <w:tc>
          <w:tcPr>
            <w:tcW w:w="143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1.365.413</w:t>
            </w:r>
          </w:p>
        </w:tc>
        <w:tc>
          <w:tcPr>
            <w:tcW w:w="144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1.447.772</w:t>
            </w:r>
          </w:p>
        </w:tc>
        <w:tc>
          <w:tcPr>
            <w:tcW w:w="268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p>
        </w:tc>
      </w:tr>
      <w:tr>
        <w:trPr/>
        <w:tc>
          <w:tcPr>
            <w:tcW w:w="38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bCs/>
                <w:sz w:val="20"/>
                <w:szCs w:val="20"/>
              </w:rPr>
              <w:t>Autonomie financiară</w:t>
            </w:r>
          </w:p>
        </w:tc>
        <w:tc>
          <w:tcPr>
            <w:tcW w:w="143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bCs/>
                <w:sz w:val="20"/>
                <w:szCs w:val="20"/>
              </w:rPr>
              <w:t>38,3%</w:t>
            </w:r>
          </w:p>
        </w:tc>
        <w:tc>
          <w:tcPr>
            <w:tcW w:w="144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bCs/>
                <w:sz w:val="20"/>
                <w:szCs w:val="20"/>
              </w:rPr>
              <w:t>41,7%</w:t>
            </w:r>
          </w:p>
        </w:tc>
        <w:tc>
          <w:tcPr>
            <w:tcW w:w="268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bCs/>
                <w:sz w:val="20"/>
                <w:szCs w:val="20"/>
              </w:rPr>
              <w:t>+3,4 p.p.</w:t>
            </w:r>
          </w:p>
        </w:tc>
      </w:tr>
    </w:tbl>
    <w:p>
      <w:pPr>
        <w:pStyle w:val="Normal"/>
        <w:spacing w:before="80" w:after="200"/>
        <w:jc w:val="start"/>
        <w:rPr/>
      </w:pPr>
      <w:r>
        <w:rPr>
          <w:rFonts w:eastAsia="Times New Roman" w:cs="Times New Roman"/>
          <w:sz w:val="18"/>
          <w:szCs w:val="18"/>
        </w:rPr>
        <w:t>Tabelul 3.15. Rata autonomiei financiare. Sursa: Calcule proprii pe baza F10.</w:t>
      </w:r>
    </w:p>
    <w:p>
      <w:pPr>
        <w:pStyle w:val="Normal"/>
        <w:spacing w:before="60" w:after="60"/>
        <w:rPr/>
      </w:pPr>
      <w:r>
        <w:rPr/>
      </w:r>
    </w:p>
    <w:p>
      <w:pPr>
        <w:pStyle w:val="Normal"/>
        <w:spacing w:lineRule="auto" w:line="300" w:before="100" w:after="100"/>
        <w:ind w:firstLine="720"/>
        <w:rPr/>
      </w:pPr>
      <w:r>
        <w:rPr>
          <w:rFonts w:eastAsia="Times New Roman" w:cs="Times New Roman"/>
          <w:b w:val="false"/>
          <w:bCs w:val="false"/>
          <w:sz w:val="24"/>
          <w:szCs w:val="24"/>
        </w:rPr>
        <w:t>Rata autonomiei financiare – complementara gradului de îndatorare – reflectă ponderea surselor proprii în finanțarea activelor. Creșterea de la 38,3% la 41,7% confirmă consolidarea graduală a independenței financiare. Valorile rămân sub pragul optim de 50–60%, indicând o dependență mai mare față de creditori decât față de surse proprii. Cu toate acestea, îmbunătățirea de 3,4 puncte procentuale este consistentă cu tendința generală de redresare constatată de-a lungul analizei.</w:t>
      </w:r>
    </w:p>
    <w:p>
      <w:pPr>
        <w:pStyle w:val="Normal"/>
        <w:spacing w:before="60" w:after="60"/>
        <w:rPr/>
      </w:pPr>
      <w:r>
        <w:rPr/>
      </w:r>
    </w:p>
    <w:p>
      <w:pPr>
        <w:pStyle w:val="Heading2"/>
        <w:spacing w:before="280" w:after="160"/>
        <w:jc w:val="start"/>
        <w:rPr/>
      </w:pPr>
      <w:r>
        <w:rPr>
          <w:rFonts w:eastAsia="Times New Roman" w:cs="Times New Roman" w:ascii="Times New Roman" w:hAnsi="Times New Roman"/>
          <w:b/>
          <w:bCs/>
          <w:sz w:val="26"/>
          <w:szCs w:val="26"/>
        </w:rPr>
        <w:t>3.8. Indicatori de echilibru financiar</w:t>
      </w:r>
    </w:p>
    <w:p>
      <w:pPr>
        <w:pStyle w:val="Normal"/>
        <w:spacing w:lineRule="auto" w:line="300" w:before="100" w:after="100"/>
        <w:ind w:firstLine="720"/>
        <w:rPr/>
      </w:pPr>
      <w:r>
        <w:rPr>
          <w:rFonts w:eastAsia="Times New Roman" w:cs="Times New Roman"/>
          <w:b w:val="false"/>
          <w:bCs w:val="false"/>
          <w:sz w:val="24"/>
          <w:szCs w:val="24"/>
        </w:rPr>
        <w:t>Echilibrul financiar structural se analizează prin intermediul fondului de rulment, necesarului de fond de rulment și trezoreriei nete – instrumente care evaluează corespondența dintre sursele permanente de finanțare și utilizările pe termen lung, respectiv nevoile de finanțare ale ciclului de exploatare.</w:t>
      </w:r>
    </w:p>
    <w:p>
      <w:pPr>
        <w:pStyle w:val="Normal"/>
        <w:spacing w:before="60" w:after="60"/>
        <w:rPr/>
      </w:pPr>
      <w:r>
        <w:rPr/>
      </w:r>
    </w:p>
    <w:p>
      <w:pPr>
        <w:pStyle w:val="Heading3"/>
        <w:spacing w:before="220" w:after="120"/>
        <w:jc w:val="start"/>
        <w:rPr/>
      </w:pPr>
      <w:r>
        <w:rPr>
          <w:rFonts w:eastAsia="Times New Roman" w:cs="Times New Roman" w:ascii="Times New Roman" w:hAnsi="Times New Roman"/>
          <w:b/>
          <w:bCs/>
          <w:sz w:val="24"/>
          <w:szCs w:val="24"/>
        </w:rPr>
        <w:t>3.8.1. Fondul de rulment (FR)</w:t>
      </w:r>
    </w:p>
    <w:p>
      <w:pPr>
        <w:pStyle w:val="Normal"/>
        <w:spacing w:lineRule="auto" w:line="300" w:before="100" w:after="100"/>
        <w:ind w:firstLine="720"/>
        <w:rPr/>
      </w:pPr>
      <w:r>
        <w:rPr>
          <w:rFonts w:eastAsia="Times New Roman" w:cs="Times New Roman"/>
          <w:b w:val="false"/>
          <w:bCs w:val="false"/>
          <w:sz w:val="24"/>
          <w:szCs w:val="24"/>
        </w:rPr>
        <w:t>Formula de calcul: Fond de rulment = Capital permanent – Active imobilizate</w:t>
      </w:r>
    </w:p>
    <w:p>
      <w:pPr>
        <w:pStyle w:val="Normal"/>
        <w:spacing w:before="60" w:after="60"/>
        <w:rPr/>
      </w:pPr>
      <w:r>
        <w:rPr/>
      </w:r>
    </w:p>
    <w:tbl>
      <w:tblPr>
        <w:tblW w:w="9360" w:type="dxa"/>
        <w:jc w:val="start"/>
        <w:tblInd w:w="0" w:type="dxa"/>
        <w:tblLayout w:type="fixed"/>
        <w:tblCellMar>
          <w:top w:w="70" w:type="dxa"/>
          <w:start w:w="100" w:type="dxa"/>
          <w:bottom w:w="70" w:type="dxa"/>
          <w:end w:w="100" w:type="dxa"/>
        </w:tblCellMar>
      </w:tblPr>
      <w:tblGrid>
        <w:gridCol w:w="3800"/>
        <w:gridCol w:w="1439"/>
        <w:gridCol w:w="1441"/>
        <w:gridCol w:w="2680"/>
      </w:tblGrid>
      <w:tr>
        <w:trPr/>
        <w:tc>
          <w:tcPr>
            <w:tcW w:w="3800"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Indicator</w:t>
            </w:r>
          </w:p>
        </w:tc>
        <w:tc>
          <w:tcPr>
            <w:tcW w:w="1439"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2024 (lei)</w:t>
            </w:r>
          </w:p>
        </w:tc>
        <w:tc>
          <w:tcPr>
            <w:tcW w:w="1441"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2025 (lei)</w:t>
            </w:r>
          </w:p>
        </w:tc>
        <w:tc>
          <w:tcPr>
            <w:tcW w:w="2680"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Abatere</w:t>
            </w:r>
          </w:p>
        </w:tc>
      </w:tr>
      <w:tr>
        <w:trPr/>
        <w:tc>
          <w:tcPr>
            <w:tcW w:w="38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Capital permanent (lei)</w:t>
            </w:r>
          </w:p>
        </w:tc>
        <w:tc>
          <w:tcPr>
            <w:tcW w:w="143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665.049</w:t>
            </w:r>
          </w:p>
        </w:tc>
        <w:tc>
          <w:tcPr>
            <w:tcW w:w="144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685.937</w:t>
            </w:r>
          </w:p>
        </w:tc>
        <w:tc>
          <w:tcPr>
            <w:tcW w:w="268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p>
        </w:tc>
      </w:tr>
      <w:tr>
        <w:trPr/>
        <w:tc>
          <w:tcPr>
            <w:tcW w:w="38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Active imobilizate (lei)</w:t>
            </w:r>
          </w:p>
        </w:tc>
        <w:tc>
          <w:tcPr>
            <w:tcW w:w="143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1.290.842</w:t>
            </w:r>
          </w:p>
        </w:tc>
        <w:tc>
          <w:tcPr>
            <w:tcW w:w="144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1.331.209</w:t>
            </w:r>
          </w:p>
        </w:tc>
        <w:tc>
          <w:tcPr>
            <w:tcW w:w="268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p>
        </w:tc>
      </w:tr>
      <w:tr>
        <w:trPr/>
        <w:tc>
          <w:tcPr>
            <w:tcW w:w="38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bCs/>
                <w:sz w:val="20"/>
                <w:szCs w:val="20"/>
              </w:rPr>
              <w:t>Fond de rulment</w:t>
            </w:r>
          </w:p>
        </w:tc>
        <w:tc>
          <w:tcPr>
            <w:tcW w:w="143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bCs/>
                <w:sz w:val="20"/>
                <w:szCs w:val="20"/>
              </w:rPr>
              <w:t>–</w:t>
            </w:r>
            <w:r>
              <w:rPr>
                <w:rFonts w:eastAsia="Times New Roman" w:cs="Times New Roman"/>
                <w:b/>
                <w:bCs/>
                <w:sz w:val="20"/>
                <w:szCs w:val="20"/>
              </w:rPr>
              <w:t>625.793</w:t>
            </w:r>
          </w:p>
        </w:tc>
        <w:tc>
          <w:tcPr>
            <w:tcW w:w="144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bCs/>
                <w:sz w:val="20"/>
                <w:szCs w:val="20"/>
              </w:rPr>
              <w:t>–</w:t>
            </w:r>
            <w:r>
              <w:rPr>
                <w:rFonts w:eastAsia="Times New Roman" w:cs="Times New Roman"/>
                <w:b/>
                <w:bCs/>
                <w:sz w:val="20"/>
                <w:szCs w:val="20"/>
              </w:rPr>
              <w:t>645.272</w:t>
            </w:r>
          </w:p>
        </w:tc>
        <w:tc>
          <w:tcPr>
            <w:tcW w:w="268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bCs/>
                <w:sz w:val="20"/>
                <w:szCs w:val="20"/>
              </w:rPr>
              <w:t>–</w:t>
            </w:r>
            <w:r>
              <w:rPr>
                <w:rFonts w:eastAsia="Times New Roman" w:cs="Times New Roman"/>
                <w:b/>
                <w:bCs/>
                <w:sz w:val="20"/>
                <w:szCs w:val="20"/>
              </w:rPr>
              <w:t>19.479</w:t>
            </w:r>
          </w:p>
        </w:tc>
      </w:tr>
    </w:tbl>
    <w:p>
      <w:pPr>
        <w:pStyle w:val="Normal"/>
        <w:spacing w:before="80" w:after="200"/>
        <w:jc w:val="start"/>
        <w:rPr/>
      </w:pPr>
      <w:r>
        <w:rPr>
          <w:rFonts w:eastAsia="Times New Roman" w:cs="Times New Roman"/>
          <w:sz w:val="18"/>
          <w:szCs w:val="18"/>
        </w:rPr>
        <w:t>Tabelul 3.16. Fondul de rulment. Sursa: Calcule proprii pe baza F10.</w:t>
      </w:r>
    </w:p>
    <w:p>
      <w:pPr>
        <w:pStyle w:val="Normal"/>
        <w:spacing w:before="60" w:after="60"/>
        <w:rPr/>
      </w:pPr>
      <w:r>
        <w:rPr/>
      </w:r>
    </w:p>
    <w:p>
      <w:pPr>
        <w:pStyle w:val="Normal"/>
        <w:spacing w:lineRule="auto" w:line="300" w:before="100" w:after="100"/>
        <w:ind w:firstLine="720"/>
        <w:rPr/>
      </w:pPr>
      <w:r>
        <w:rPr>
          <w:rFonts w:eastAsia="Times New Roman" w:cs="Times New Roman"/>
          <w:b w:val="false"/>
          <w:bCs w:val="false"/>
          <w:sz w:val="24"/>
          <w:szCs w:val="24"/>
        </w:rPr>
        <w:t>Fondul de rulment negativ în ambii ani analizați semnifică că entitatea nu dispune de suficiente surse permanente pentru a finanța integral activele imobilizate, diferența fiind acoperită din resurse atrase pe termen scurt. Această situație, denumită dezechilibru financiar structural, reprezintă principala vulnerabilitate identificată în analiza financiară. Adâncirea fondului de rulment negativ de la –625.793 lei la –645.272 lei (cu 19.479 lei) indică o ușoară înrăutățire, determinată de creșterea mai rapidă a activelor imobilizate față de capitalul permanent. Remedierea structurală ar presupune fie majorarea capitalului propriu, fie contractarea de finanțări pe termen lung pentru a acoperi investițiile în active fixe.</w:t>
      </w:r>
    </w:p>
    <w:p>
      <w:pPr>
        <w:pStyle w:val="Normal"/>
        <w:spacing w:before="60" w:after="60"/>
        <w:rPr/>
      </w:pPr>
      <w:r>
        <w:rPr/>
      </w:r>
    </w:p>
    <w:p>
      <w:pPr>
        <w:pStyle w:val="Heading3"/>
        <w:spacing w:before="220" w:after="120"/>
        <w:jc w:val="start"/>
        <w:rPr/>
      </w:pPr>
      <w:r>
        <w:rPr>
          <w:rFonts w:eastAsia="Times New Roman" w:cs="Times New Roman" w:ascii="Times New Roman" w:hAnsi="Times New Roman"/>
          <w:b/>
          <w:bCs/>
          <w:sz w:val="24"/>
          <w:szCs w:val="24"/>
        </w:rPr>
        <w:t>3.8.2. Necesarul de fond de rulment (NFR)</w:t>
      </w:r>
    </w:p>
    <w:p>
      <w:pPr>
        <w:pStyle w:val="Normal"/>
        <w:spacing w:lineRule="auto" w:line="300" w:before="100" w:after="100"/>
        <w:ind w:firstLine="720"/>
        <w:rPr/>
      </w:pPr>
      <w:r>
        <w:rPr>
          <w:rFonts w:eastAsia="Times New Roman" w:cs="Times New Roman"/>
          <w:b w:val="false"/>
          <w:bCs w:val="false"/>
          <w:sz w:val="24"/>
          <w:szCs w:val="24"/>
        </w:rPr>
        <w:t>Formula de calcul: NFR = (Active circulante – Stocuri) – Datorii curente de exploatare</w:t>
      </w:r>
    </w:p>
    <w:p>
      <w:pPr>
        <w:pStyle w:val="Normal"/>
        <w:spacing w:before="60" w:after="60"/>
        <w:rPr/>
      </w:pPr>
      <w:r>
        <w:rPr/>
      </w:r>
    </w:p>
    <w:tbl>
      <w:tblPr>
        <w:tblW w:w="9360" w:type="dxa"/>
        <w:jc w:val="start"/>
        <w:tblInd w:w="0" w:type="dxa"/>
        <w:tblLayout w:type="fixed"/>
        <w:tblCellMar>
          <w:top w:w="70" w:type="dxa"/>
          <w:start w:w="100" w:type="dxa"/>
          <w:bottom w:w="70" w:type="dxa"/>
          <w:end w:w="100" w:type="dxa"/>
        </w:tblCellMar>
      </w:tblPr>
      <w:tblGrid>
        <w:gridCol w:w="3800"/>
        <w:gridCol w:w="1439"/>
        <w:gridCol w:w="1441"/>
        <w:gridCol w:w="2680"/>
      </w:tblGrid>
      <w:tr>
        <w:trPr/>
        <w:tc>
          <w:tcPr>
            <w:tcW w:w="3800"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Indicator</w:t>
            </w:r>
          </w:p>
        </w:tc>
        <w:tc>
          <w:tcPr>
            <w:tcW w:w="1439"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2024 (lei)</w:t>
            </w:r>
          </w:p>
        </w:tc>
        <w:tc>
          <w:tcPr>
            <w:tcW w:w="1441"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2025 (lei)</w:t>
            </w:r>
          </w:p>
        </w:tc>
        <w:tc>
          <w:tcPr>
            <w:tcW w:w="2680"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Abatere</w:t>
            </w:r>
          </w:p>
        </w:tc>
      </w:tr>
      <w:tr>
        <w:trPr/>
        <w:tc>
          <w:tcPr>
            <w:tcW w:w="38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Active circulante – Stocuri (lei)</w:t>
            </w:r>
          </w:p>
        </w:tc>
        <w:tc>
          <w:tcPr>
            <w:tcW w:w="143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37.941</w:t>
            </w:r>
          </w:p>
        </w:tc>
        <w:tc>
          <w:tcPr>
            <w:tcW w:w="144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48.971</w:t>
            </w:r>
          </w:p>
        </w:tc>
        <w:tc>
          <w:tcPr>
            <w:tcW w:w="268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p>
        </w:tc>
      </w:tr>
      <w:tr>
        <w:trPr/>
        <w:tc>
          <w:tcPr>
            <w:tcW w:w="38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Datorii curente (lei)</w:t>
            </w:r>
          </w:p>
        </w:tc>
        <w:tc>
          <w:tcPr>
            <w:tcW w:w="143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700.364</w:t>
            </w:r>
          </w:p>
        </w:tc>
        <w:tc>
          <w:tcPr>
            <w:tcW w:w="144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762.094</w:t>
            </w:r>
          </w:p>
        </w:tc>
        <w:tc>
          <w:tcPr>
            <w:tcW w:w="268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p>
        </w:tc>
      </w:tr>
      <w:tr>
        <w:trPr/>
        <w:tc>
          <w:tcPr>
            <w:tcW w:w="38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bCs/>
                <w:sz w:val="20"/>
                <w:szCs w:val="20"/>
              </w:rPr>
              <w:t>Necesar fond de rulment</w:t>
            </w:r>
          </w:p>
        </w:tc>
        <w:tc>
          <w:tcPr>
            <w:tcW w:w="143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bCs/>
                <w:sz w:val="20"/>
                <w:szCs w:val="20"/>
              </w:rPr>
              <w:t>–</w:t>
            </w:r>
            <w:r>
              <w:rPr>
                <w:rFonts w:eastAsia="Times New Roman" w:cs="Times New Roman"/>
                <w:b/>
                <w:bCs/>
                <w:sz w:val="20"/>
                <w:szCs w:val="20"/>
              </w:rPr>
              <w:t>662.423</w:t>
            </w:r>
          </w:p>
        </w:tc>
        <w:tc>
          <w:tcPr>
            <w:tcW w:w="144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bCs/>
                <w:sz w:val="20"/>
                <w:szCs w:val="20"/>
              </w:rPr>
              <w:t>–</w:t>
            </w:r>
            <w:r>
              <w:rPr>
                <w:rFonts w:eastAsia="Times New Roman" w:cs="Times New Roman"/>
                <w:b/>
                <w:bCs/>
                <w:sz w:val="20"/>
                <w:szCs w:val="20"/>
              </w:rPr>
              <w:t>713.123</w:t>
            </w:r>
          </w:p>
        </w:tc>
        <w:tc>
          <w:tcPr>
            <w:tcW w:w="268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bCs/>
                <w:sz w:val="20"/>
                <w:szCs w:val="20"/>
              </w:rPr>
              <w:t>–</w:t>
            </w:r>
            <w:r>
              <w:rPr>
                <w:rFonts w:eastAsia="Times New Roman" w:cs="Times New Roman"/>
                <w:b/>
                <w:bCs/>
                <w:sz w:val="20"/>
                <w:szCs w:val="20"/>
              </w:rPr>
              <w:t>50.700</w:t>
            </w:r>
          </w:p>
        </w:tc>
      </w:tr>
    </w:tbl>
    <w:p>
      <w:pPr>
        <w:pStyle w:val="Normal"/>
        <w:spacing w:before="80" w:after="200"/>
        <w:jc w:val="start"/>
        <w:rPr/>
      </w:pPr>
      <w:r>
        <w:rPr>
          <w:rFonts w:eastAsia="Times New Roman" w:cs="Times New Roman"/>
          <w:sz w:val="18"/>
          <w:szCs w:val="18"/>
        </w:rPr>
        <w:t>Tabelul 3.17. Necesarul de fond de rulment. Sursa: Calcule proprii pe baza F10.</w:t>
      </w:r>
    </w:p>
    <w:p>
      <w:pPr>
        <w:pStyle w:val="Normal"/>
        <w:spacing w:before="60" w:after="60"/>
        <w:rPr/>
      </w:pPr>
      <w:r>
        <w:rPr/>
      </w:r>
    </w:p>
    <w:p>
      <w:pPr>
        <w:pStyle w:val="Normal"/>
        <w:spacing w:lineRule="auto" w:line="300" w:before="100" w:after="100"/>
        <w:ind w:firstLine="720"/>
        <w:rPr/>
      </w:pPr>
      <w:r>
        <w:rPr>
          <w:rFonts w:eastAsia="Times New Roman" w:cs="Times New Roman"/>
          <w:b w:val="false"/>
          <w:bCs w:val="false"/>
          <w:sz w:val="24"/>
          <w:szCs w:val="24"/>
        </w:rPr>
        <w:t>Necesarul de fond de rulment negativ indică că datoriile de exploatare pe termen scurt depășesc activele circulante (exclusiv stocurile), ceea ce înseamnă că furnizorii și creditorii comerciali finanțează o parte semnificativă din activele curente. Această situație nu este neapărat negativă – ea poate reflecta o putere de negociere favorabilă față de furnizori sau termene lungi de plată obținute prin contracte comerciale avantajoase. Cu toate acestea, adâncirea NFR negativ de la –662.423 lei la –713.123 lei (+50.700 lei) indică o creștere a presiunii obligațiilor curente față de activele lichide disponibile.</w:t>
      </w:r>
    </w:p>
    <w:p>
      <w:pPr>
        <w:pStyle w:val="Normal"/>
        <w:spacing w:before="60" w:after="60"/>
        <w:rPr/>
      </w:pPr>
      <w:r>
        <w:rPr/>
      </w:r>
    </w:p>
    <w:p>
      <w:pPr>
        <w:pStyle w:val="Heading3"/>
        <w:spacing w:before="220" w:after="120"/>
        <w:jc w:val="start"/>
        <w:rPr/>
      </w:pPr>
      <w:r>
        <w:rPr>
          <w:rFonts w:eastAsia="Times New Roman" w:cs="Times New Roman" w:ascii="Times New Roman" w:hAnsi="Times New Roman"/>
          <w:b/>
          <w:bCs/>
          <w:sz w:val="24"/>
          <w:szCs w:val="24"/>
        </w:rPr>
        <w:t>3.8.3. Trezoreria netă (TN)</w:t>
      </w:r>
    </w:p>
    <w:p>
      <w:pPr>
        <w:pStyle w:val="Normal"/>
        <w:spacing w:lineRule="auto" w:line="300" w:before="100" w:after="100"/>
        <w:ind w:firstLine="720"/>
        <w:rPr/>
      </w:pPr>
      <w:r>
        <w:rPr>
          <w:rFonts w:eastAsia="Times New Roman" w:cs="Times New Roman"/>
          <w:b w:val="false"/>
          <w:bCs w:val="false"/>
          <w:sz w:val="24"/>
          <w:szCs w:val="24"/>
        </w:rPr>
        <w:t>Formula de calcul: Trezorerie netă = Fond de rulment – Necesar de fond de rulment</w:t>
      </w:r>
    </w:p>
    <w:p>
      <w:pPr>
        <w:pStyle w:val="Normal"/>
        <w:spacing w:before="60" w:after="60"/>
        <w:rPr/>
      </w:pPr>
      <w:r>
        <w:rPr/>
      </w:r>
    </w:p>
    <w:tbl>
      <w:tblPr>
        <w:tblW w:w="9360" w:type="dxa"/>
        <w:jc w:val="start"/>
        <w:tblInd w:w="0" w:type="dxa"/>
        <w:tblLayout w:type="fixed"/>
        <w:tblCellMar>
          <w:top w:w="70" w:type="dxa"/>
          <w:start w:w="100" w:type="dxa"/>
          <w:bottom w:w="70" w:type="dxa"/>
          <w:end w:w="100" w:type="dxa"/>
        </w:tblCellMar>
      </w:tblPr>
      <w:tblGrid>
        <w:gridCol w:w="3800"/>
        <w:gridCol w:w="1439"/>
        <w:gridCol w:w="1441"/>
        <w:gridCol w:w="2680"/>
      </w:tblGrid>
      <w:tr>
        <w:trPr/>
        <w:tc>
          <w:tcPr>
            <w:tcW w:w="3800"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Indicator</w:t>
            </w:r>
          </w:p>
        </w:tc>
        <w:tc>
          <w:tcPr>
            <w:tcW w:w="1439"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2024 (lei)</w:t>
            </w:r>
          </w:p>
        </w:tc>
        <w:tc>
          <w:tcPr>
            <w:tcW w:w="1441"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2025 (lei)</w:t>
            </w:r>
          </w:p>
        </w:tc>
        <w:tc>
          <w:tcPr>
            <w:tcW w:w="2680"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Abatere</w:t>
            </w:r>
          </w:p>
        </w:tc>
      </w:tr>
      <w:tr>
        <w:trPr/>
        <w:tc>
          <w:tcPr>
            <w:tcW w:w="38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Fond de rulment (lei)</w:t>
            </w:r>
          </w:p>
        </w:tc>
        <w:tc>
          <w:tcPr>
            <w:tcW w:w="143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r>
              <w:rPr>
                <w:rFonts w:eastAsia="Times New Roman" w:cs="Times New Roman"/>
                <w:b w:val="false"/>
                <w:bCs w:val="false"/>
                <w:sz w:val="20"/>
                <w:szCs w:val="20"/>
              </w:rPr>
              <w:t>625.793</w:t>
            </w:r>
          </w:p>
        </w:tc>
        <w:tc>
          <w:tcPr>
            <w:tcW w:w="144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r>
              <w:rPr>
                <w:rFonts w:eastAsia="Times New Roman" w:cs="Times New Roman"/>
                <w:b w:val="false"/>
                <w:bCs w:val="false"/>
                <w:sz w:val="20"/>
                <w:szCs w:val="20"/>
              </w:rPr>
              <w:t>645.272</w:t>
            </w:r>
          </w:p>
        </w:tc>
        <w:tc>
          <w:tcPr>
            <w:tcW w:w="268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p>
        </w:tc>
      </w:tr>
      <w:tr>
        <w:trPr/>
        <w:tc>
          <w:tcPr>
            <w:tcW w:w="38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Necesar fond de rulment (lei)</w:t>
            </w:r>
          </w:p>
        </w:tc>
        <w:tc>
          <w:tcPr>
            <w:tcW w:w="143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r>
              <w:rPr>
                <w:rFonts w:eastAsia="Times New Roman" w:cs="Times New Roman"/>
                <w:b w:val="false"/>
                <w:bCs w:val="false"/>
                <w:sz w:val="20"/>
                <w:szCs w:val="20"/>
              </w:rPr>
              <w:t>662.423</w:t>
            </w:r>
          </w:p>
        </w:tc>
        <w:tc>
          <w:tcPr>
            <w:tcW w:w="144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r>
              <w:rPr>
                <w:rFonts w:eastAsia="Times New Roman" w:cs="Times New Roman"/>
                <w:b w:val="false"/>
                <w:bCs w:val="false"/>
                <w:sz w:val="20"/>
                <w:szCs w:val="20"/>
              </w:rPr>
              <w:t>713.123</w:t>
            </w:r>
          </w:p>
        </w:tc>
        <w:tc>
          <w:tcPr>
            <w:tcW w:w="268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p>
        </w:tc>
      </w:tr>
      <w:tr>
        <w:trPr/>
        <w:tc>
          <w:tcPr>
            <w:tcW w:w="38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bCs/>
                <w:sz w:val="20"/>
                <w:szCs w:val="20"/>
              </w:rPr>
              <w:t>Trezorerie netă</w:t>
            </w:r>
          </w:p>
        </w:tc>
        <w:tc>
          <w:tcPr>
            <w:tcW w:w="143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bCs/>
                <w:sz w:val="20"/>
                <w:szCs w:val="20"/>
              </w:rPr>
              <w:t>36.630</w:t>
            </w:r>
          </w:p>
        </w:tc>
        <w:tc>
          <w:tcPr>
            <w:tcW w:w="144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bCs/>
                <w:sz w:val="20"/>
                <w:szCs w:val="20"/>
              </w:rPr>
              <w:t>67.851</w:t>
            </w:r>
          </w:p>
        </w:tc>
        <w:tc>
          <w:tcPr>
            <w:tcW w:w="268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bCs/>
                <w:sz w:val="20"/>
                <w:szCs w:val="20"/>
              </w:rPr>
              <w:t>+31.221</w:t>
            </w:r>
          </w:p>
        </w:tc>
      </w:tr>
    </w:tbl>
    <w:p>
      <w:pPr>
        <w:pStyle w:val="Normal"/>
        <w:spacing w:before="80" w:after="200"/>
        <w:jc w:val="start"/>
        <w:rPr/>
      </w:pPr>
      <w:r>
        <w:rPr>
          <w:rFonts w:eastAsia="Times New Roman" w:cs="Times New Roman"/>
          <w:sz w:val="18"/>
          <w:szCs w:val="18"/>
        </w:rPr>
        <w:t>Tabelul 3.18. Trezoreria netă. Sursa: Calcule proprii pe baza F10.</w:t>
      </w:r>
    </w:p>
    <w:p>
      <w:pPr>
        <w:pStyle w:val="Normal"/>
        <w:spacing w:before="60" w:after="60"/>
        <w:rPr/>
      </w:pPr>
      <w:r>
        <w:rPr/>
      </w:r>
    </w:p>
    <w:p>
      <w:pPr>
        <w:pStyle w:val="Normal"/>
        <w:spacing w:lineRule="auto" w:line="300" w:before="100" w:after="100"/>
        <w:ind w:firstLine="720"/>
        <w:rPr/>
      </w:pPr>
      <w:r>
        <w:rPr>
          <w:rFonts w:eastAsia="Times New Roman" w:cs="Times New Roman"/>
          <w:b w:val="false"/>
          <w:bCs w:val="false"/>
          <w:sz w:val="24"/>
          <w:szCs w:val="24"/>
        </w:rPr>
        <w:t>Trezoreria netă pozitivă în ambii ani – și în creștere de la 36.630 lei la 67.851 lei – este surprinzătoare în contextul unui fond de rulment și NFR ambele negative, dar se explică matematic prin NFR mai negativ decât FR. Aceasta semnifică faptul că datoriile de exploatare finanțează inclusiv disponibilitățile bănești ale entității. Creșterea trezoreriei nete cu 31.221 lei (+85,2%) reflectă acumularea de lichidități operaționale și este un semnal pozitiv privind capacitatea de autofinanțare pe termen scurt.</w:t>
      </w:r>
    </w:p>
    <w:p>
      <w:pPr>
        <w:pStyle w:val="Normal"/>
        <w:spacing w:before="60" w:after="60"/>
        <w:rPr/>
      </w:pPr>
      <w:r>
        <w:rPr/>
      </w:r>
    </w:p>
    <w:p>
      <w:pPr>
        <w:pStyle w:val="Heading2"/>
        <w:spacing w:before="280" w:after="160"/>
        <w:jc w:val="start"/>
        <w:rPr/>
      </w:pPr>
      <w:r>
        <w:rPr>
          <w:rFonts w:eastAsia="Times New Roman" w:cs="Times New Roman" w:ascii="Times New Roman" w:hAnsi="Times New Roman"/>
          <w:b/>
          <w:bCs/>
          <w:sz w:val="26"/>
          <w:szCs w:val="26"/>
        </w:rPr>
        <w:t>3.9. Indicatori de gestiune a activelor</w:t>
      </w:r>
    </w:p>
    <w:p>
      <w:pPr>
        <w:pStyle w:val="Normal"/>
        <w:spacing w:lineRule="auto" w:line="300" w:before="100" w:after="100"/>
        <w:ind w:firstLine="720"/>
        <w:rPr/>
      </w:pPr>
      <w:r>
        <w:rPr>
          <w:rFonts w:eastAsia="Times New Roman" w:cs="Times New Roman"/>
          <w:b w:val="false"/>
          <w:bCs w:val="false"/>
          <w:sz w:val="24"/>
          <w:szCs w:val="24"/>
        </w:rPr>
        <w:t>Indicatorii de gestiune evaluează eficiența cu care entitatea valorifică activele disponibile pentru generarea de venituri, constituind o punte între performanța comercială și cea financiară.</w:t>
      </w:r>
    </w:p>
    <w:p>
      <w:pPr>
        <w:pStyle w:val="Normal"/>
        <w:spacing w:before="60" w:after="60"/>
        <w:rPr/>
      </w:pPr>
      <w:r>
        <w:rPr/>
      </w:r>
    </w:p>
    <w:p>
      <w:pPr>
        <w:pStyle w:val="Heading3"/>
        <w:spacing w:before="220" w:after="120"/>
        <w:jc w:val="start"/>
        <w:rPr/>
      </w:pPr>
      <w:r>
        <w:rPr>
          <w:rFonts w:eastAsia="Times New Roman" w:cs="Times New Roman" w:ascii="Times New Roman" w:hAnsi="Times New Roman"/>
          <w:b/>
          <w:bCs/>
          <w:sz w:val="24"/>
          <w:szCs w:val="24"/>
        </w:rPr>
        <w:t>3.9.1. Viteza de rotație a creanțelor</w:t>
      </w:r>
    </w:p>
    <w:p>
      <w:pPr>
        <w:pStyle w:val="Normal"/>
        <w:spacing w:lineRule="auto" w:line="300" w:before="100" w:after="100"/>
        <w:ind w:firstLine="720"/>
        <w:rPr/>
      </w:pPr>
      <w:r>
        <w:rPr>
          <w:rFonts w:eastAsia="Times New Roman" w:cs="Times New Roman"/>
          <w:b w:val="false"/>
          <w:bCs w:val="false"/>
          <w:sz w:val="24"/>
          <w:szCs w:val="24"/>
        </w:rPr>
        <w:t>Formula de calcul: VRC = Cifra de afaceri / Creanțe</w:t>
      </w:r>
    </w:p>
    <w:p>
      <w:pPr>
        <w:pStyle w:val="Normal"/>
        <w:spacing w:before="60" w:after="60"/>
        <w:rPr/>
      </w:pPr>
      <w:r>
        <w:rPr/>
      </w:r>
    </w:p>
    <w:tbl>
      <w:tblPr>
        <w:tblW w:w="9360" w:type="dxa"/>
        <w:jc w:val="start"/>
        <w:tblInd w:w="0" w:type="dxa"/>
        <w:tblLayout w:type="fixed"/>
        <w:tblCellMar>
          <w:top w:w="70" w:type="dxa"/>
          <w:start w:w="100" w:type="dxa"/>
          <w:bottom w:w="70" w:type="dxa"/>
          <w:end w:w="100" w:type="dxa"/>
        </w:tblCellMar>
      </w:tblPr>
      <w:tblGrid>
        <w:gridCol w:w="3800"/>
        <w:gridCol w:w="1439"/>
        <w:gridCol w:w="1441"/>
        <w:gridCol w:w="2680"/>
      </w:tblGrid>
      <w:tr>
        <w:trPr/>
        <w:tc>
          <w:tcPr>
            <w:tcW w:w="3800"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Indicator</w:t>
            </w:r>
          </w:p>
        </w:tc>
        <w:tc>
          <w:tcPr>
            <w:tcW w:w="1439"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2024</w:t>
            </w:r>
          </w:p>
        </w:tc>
        <w:tc>
          <w:tcPr>
            <w:tcW w:w="1441"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2025</w:t>
            </w:r>
          </w:p>
        </w:tc>
        <w:tc>
          <w:tcPr>
            <w:tcW w:w="2680"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Abatere</w:t>
            </w:r>
          </w:p>
        </w:tc>
      </w:tr>
      <w:tr>
        <w:trPr/>
        <w:tc>
          <w:tcPr>
            <w:tcW w:w="38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Cifra de afaceri (lei)</w:t>
            </w:r>
          </w:p>
        </w:tc>
        <w:tc>
          <w:tcPr>
            <w:tcW w:w="143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2.158.144</w:t>
            </w:r>
          </w:p>
        </w:tc>
        <w:tc>
          <w:tcPr>
            <w:tcW w:w="144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2.543.426</w:t>
            </w:r>
          </w:p>
        </w:tc>
        <w:tc>
          <w:tcPr>
            <w:tcW w:w="268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p>
        </w:tc>
      </w:tr>
      <w:tr>
        <w:trPr/>
        <w:tc>
          <w:tcPr>
            <w:tcW w:w="38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Creanțe (lei)</w:t>
            </w:r>
          </w:p>
        </w:tc>
        <w:tc>
          <w:tcPr>
            <w:tcW w:w="143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27.423</w:t>
            </w:r>
          </w:p>
        </w:tc>
        <w:tc>
          <w:tcPr>
            <w:tcW w:w="144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21.301</w:t>
            </w:r>
          </w:p>
        </w:tc>
        <w:tc>
          <w:tcPr>
            <w:tcW w:w="268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p>
        </w:tc>
      </w:tr>
      <w:tr>
        <w:trPr/>
        <w:tc>
          <w:tcPr>
            <w:tcW w:w="38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bCs/>
                <w:sz w:val="20"/>
                <w:szCs w:val="20"/>
              </w:rPr>
              <w:t>Viteza rotație creanțe (rot./an)</w:t>
            </w:r>
          </w:p>
        </w:tc>
        <w:tc>
          <w:tcPr>
            <w:tcW w:w="143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bCs/>
                <w:sz w:val="20"/>
                <w:szCs w:val="20"/>
              </w:rPr>
              <w:t>78,7</w:t>
            </w:r>
          </w:p>
        </w:tc>
        <w:tc>
          <w:tcPr>
            <w:tcW w:w="144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bCs/>
                <w:sz w:val="20"/>
                <w:szCs w:val="20"/>
              </w:rPr>
              <w:t>119,4</w:t>
            </w:r>
          </w:p>
        </w:tc>
        <w:tc>
          <w:tcPr>
            <w:tcW w:w="268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bCs/>
                <w:sz w:val="20"/>
                <w:szCs w:val="20"/>
              </w:rPr>
              <w:t>+40,7 rot.</w:t>
            </w:r>
          </w:p>
        </w:tc>
      </w:tr>
      <w:tr>
        <w:trPr/>
        <w:tc>
          <w:tcPr>
            <w:tcW w:w="38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Durata de încasare (zile)</w:t>
            </w:r>
          </w:p>
        </w:tc>
        <w:tc>
          <w:tcPr>
            <w:tcW w:w="143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4,6</w:t>
            </w:r>
          </w:p>
        </w:tc>
        <w:tc>
          <w:tcPr>
            <w:tcW w:w="144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3,0</w:t>
            </w:r>
          </w:p>
        </w:tc>
        <w:tc>
          <w:tcPr>
            <w:tcW w:w="268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r>
              <w:rPr>
                <w:rFonts w:eastAsia="Times New Roman" w:cs="Times New Roman"/>
                <w:b w:val="false"/>
                <w:bCs w:val="false"/>
                <w:sz w:val="20"/>
                <w:szCs w:val="20"/>
              </w:rPr>
              <w:t>1,6 zile</w:t>
            </w:r>
          </w:p>
        </w:tc>
      </w:tr>
    </w:tbl>
    <w:p>
      <w:pPr>
        <w:pStyle w:val="Normal"/>
        <w:spacing w:before="80" w:after="200"/>
        <w:jc w:val="start"/>
        <w:rPr/>
      </w:pPr>
      <w:r>
        <w:rPr>
          <w:rFonts w:eastAsia="Times New Roman" w:cs="Times New Roman"/>
          <w:sz w:val="18"/>
          <w:szCs w:val="18"/>
        </w:rPr>
        <w:t>Tabelul 3.19. Viteza de rotație a creanțelor. Sursa: Calcule proprii pe baza F10 și F20.</w:t>
      </w:r>
    </w:p>
    <w:p>
      <w:pPr>
        <w:pStyle w:val="Normal"/>
        <w:spacing w:before="60" w:after="60"/>
        <w:rPr/>
      </w:pPr>
      <w:r>
        <w:rPr/>
      </w:r>
    </w:p>
    <w:p>
      <w:pPr>
        <w:pStyle w:val="Normal"/>
        <w:spacing w:lineRule="auto" w:line="300" w:before="100" w:after="100"/>
        <w:ind w:firstLine="720"/>
        <w:rPr/>
      </w:pPr>
      <w:r>
        <w:rPr>
          <w:rFonts w:eastAsia="Times New Roman" w:cs="Times New Roman"/>
          <w:b w:val="false"/>
          <w:bCs w:val="false"/>
          <w:sz w:val="24"/>
          <w:szCs w:val="24"/>
        </w:rPr>
        <w:t>Viteza de rotație a creanțelor de 119,4 rotații pe an în 2025 (față de 78,7 în 2024) și durata medie de încasare de numai 3 zile (față de 4,6 zile) indică o gestionare excepțional de eficientă a creanțelor. Clientela plătește practic în avans sau la livrare, ceea ce elimină riscul de creanțe neîncasate și menține presiunea pe trezorerie la un nivel redus. Reducerea soldului creanțelor de la 27.423 lei la 21.301 lei confirmă această politică agresivă de colectare.</w:t>
      </w:r>
    </w:p>
    <w:p>
      <w:pPr>
        <w:pStyle w:val="Normal"/>
        <w:spacing w:before="60" w:after="60"/>
        <w:rPr/>
      </w:pPr>
      <w:r>
        <w:rPr/>
      </w:r>
    </w:p>
    <w:p>
      <w:pPr>
        <w:pStyle w:val="Heading3"/>
        <w:spacing w:before="220" w:after="120"/>
        <w:jc w:val="start"/>
        <w:rPr/>
      </w:pPr>
      <w:r>
        <w:rPr>
          <w:rFonts w:eastAsia="Times New Roman" w:cs="Times New Roman" w:ascii="Times New Roman" w:hAnsi="Times New Roman"/>
          <w:b/>
          <w:bCs/>
          <w:sz w:val="24"/>
          <w:szCs w:val="24"/>
        </w:rPr>
        <w:t>3.9.2. Viteza de rotație a stocurilor</w:t>
      </w:r>
    </w:p>
    <w:p>
      <w:pPr>
        <w:pStyle w:val="Normal"/>
        <w:spacing w:lineRule="auto" w:line="300" w:before="100" w:after="100"/>
        <w:ind w:firstLine="720"/>
        <w:rPr/>
      </w:pPr>
      <w:r>
        <w:rPr>
          <w:rFonts w:eastAsia="Times New Roman" w:cs="Times New Roman"/>
          <w:b w:val="false"/>
          <w:bCs w:val="false"/>
          <w:sz w:val="24"/>
          <w:szCs w:val="24"/>
        </w:rPr>
        <w:t>Formula de calcul: VRS = Total cheltuieli / Stocuri</w:t>
      </w:r>
    </w:p>
    <w:p>
      <w:pPr>
        <w:pStyle w:val="Normal"/>
        <w:spacing w:before="60" w:after="60"/>
        <w:rPr/>
      </w:pPr>
      <w:r>
        <w:rPr/>
      </w:r>
    </w:p>
    <w:tbl>
      <w:tblPr>
        <w:tblW w:w="9360" w:type="dxa"/>
        <w:jc w:val="start"/>
        <w:tblInd w:w="0" w:type="dxa"/>
        <w:tblLayout w:type="fixed"/>
        <w:tblCellMar>
          <w:top w:w="70" w:type="dxa"/>
          <w:start w:w="100" w:type="dxa"/>
          <w:bottom w:w="70" w:type="dxa"/>
          <w:end w:w="100" w:type="dxa"/>
        </w:tblCellMar>
      </w:tblPr>
      <w:tblGrid>
        <w:gridCol w:w="3800"/>
        <w:gridCol w:w="1439"/>
        <w:gridCol w:w="1441"/>
        <w:gridCol w:w="2680"/>
      </w:tblGrid>
      <w:tr>
        <w:trPr/>
        <w:tc>
          <w:tcPr>
            <w:tcW w:w="3800"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Indicator</w:t>
            </w:r>
          </w:p>
        </w:tc>
        <w:tc>
          <w:tcPr>
            <w:tcW w:w="1439"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2024</w:t>
            </w:r>
          </w:p>
        </w:tc>
        <w:tc>
          <w:tcPr>
            <w:tcW w:w="1441"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2025</w:t>
            </w:r>
          </w:p>
        </w:tc>
        <w:tc>
          <w:tcPr>
            <w:tcW w:w="2680"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Abatere</w:t>
            </w:r>
          </w:p>
        </w:tc>
      </w:tr>
      <w:tr>
        <w:trPr/>
        <w:tc>
          <w:tcPr>
            <w:tcW w:w="38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Total cheltuieli (lei)</w:t>
            </w:r>
          </w:p>
        </w:tc>
        <w:tc>
          <w:tcPr>
            <w:tcW w:w="143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2.350.043</w:t>
            </w:r>
          </w:p>
        </w:tc>
        <w:tc>
          <w:tcPr>
            <w:tcW w:w="144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2.577.298</w:t>
            </w:r>
          </w:p>
        </w:tc>
        <w:tc>
          <w:tcPr>
            <w:tcW w:w="268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p>
        </w:tc>
      </w:tr>
      <w:tr>
        <w:trPr/>
        <w:tc>
          <w:tcPr>
            <w:tcW w:w="38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Stocuri (lei)</w:t>
            </w:r>
          </w:p>
        </w:tc>
        <w:tc>
          <w:tcPr>
            <w:tcW w:w="143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36.630</w:t>
            </w:r>
          </w:p>
        </w:tc>
        <w:tc>
          <w:tcPr>
            <w:tcW w:w="144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67.592</w:t>
            </w:r>
          </w:p>
        </w:tc>
        <w:tc>
          <w:tcPr>
            <w:tcW w:w="268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p>
        </w:tc>
      </w:tr>
      <w:tr>
        <w:trPr/>
        <w:tc>
          <w:tcPr>
            <w:tcW w:w="38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bCs/>
                <w:sz w:val="20"/>
                <w:szCs w:val="20"/>
              </w:rPr>
              <w:t>Viteza rotație stocuri (rot./an)</w:t>
            </w:r>
          </w:p>
        </w:tc>
        <w:tc>
          <w:tcPr>
            <w:tcW w:w="143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bCs/>
                <w:sz w:val="20"/>
                <w:szCs w:val="20"/>
              </w:rPr>
              <w:t>64,2</w:t>
            </w:r>
          </w:p>
        </w:tc>
        <w:tc>
          <w:tcPr>
            <w:tcW w:w="144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bCs/>
                <w:sz w:val="20"/>
                <w:szCs w:val="20"/>
              </w:rPr>
              <w:t>38,1</w:t>
            </w:r>
          </w:p>
        </w:tc>
        <w:tc>
          <w:tcPr>
            <w:tcW w:w="268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bCs/>
                <w:sz w:val="20"/>
                <w:szCs w:val="20"/>
              </w:rPr>
              <w:t>–</w:t>
            </w:r>
            <w:r>
              <w:rPr>
                <w:rFonts w:eastAsia="Times New Roman" w:cs="Times New Roman"/>
                <w:b/>
                <w:bCs/>
                <w:sz w:val="20"/>
                <w:szCs w:val="20"/>
              </w:rPr>
              <w:t>26,1 rot.</w:t>
            </w:r>
          </w:p>
        </w:tc>
      </w:tr>
      <w:tr>
        <w:trPr/>
        <w:tc>
          <w:tcPr>
            <w:tcW w:w="38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Durata medie de stocare (zile)</w:t>
            </w:r>
          </w:p>
        </w:tc>
        <w:tc>
          <w:tcPr>
            <w:tcW w:w="143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5,6</w:t>
            </w:r>
          </w:p>
        </w:tc>
        <w:tc>
          <w:tcPr>
            <w:tcW w:w="144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9,4</w:t>
            </w:r>
          </w:p>
        </w:tc>
        <w:tc>
          <w:tcPr>
            <w:tcW w:w="268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+3,8 zile</w:t>
            </w:r>
          </w:p>
        </w:tc>
      </w:tr>
    </w:tbl>
    <w:p>
      <w:pPr>
        <w:pStyle w:val="Normal"/>
        <w:spacing w:before="80" w:after="200"/>
        <w:jc w:val="start"/>
        <w:rPr/>
      </w:pPr>
      <w:r>
        <w:rPr>
          <w:rFonts w:eastAsia="Times New Roman" w:cs="Times New Roman"/>
          <w:sz w:val="18"/>
          <w:szCs w:val="18"/>
        </w:rPr>
        <w:t>Tabelul 3.20. Viteza de rotație a stocurilor. Sursa: Calcule proprii pe baza F10 și F20.</w:t>
      </w:r>
    </w:p>
    <w:p>
      <w:pPr>
        <w:pStyle w:val="Normal"/>
        <w:spacing w:before="60" w:after="60"/>
        <w:rPr/>
      </w:pPr>
      <w:r>
        <w:rPr/>
      </w:r>
    </w:p>
    <w:p>
      <w:pPr>
        <w:pStyle w:val="Normal"/>
        <w:spacing w:lineRule="auto" w:line="300" w:before="100" w:after="100"/>
        <w:ind w:firstLine="720"/>
        <w:rPr/>
      </w:pPr>
      <w:r>
        <w:rPr>
          <w:rFonts w:eastAsia="Times New Roman" w:cs="Times New Roman"/>
          <w:b w:val="false"/>
          <w:bCs w:val="false"/>
          <w:sz w:val="24"/>
          <w:szCs w:val="24"/>
        </w:rPr>
        <w:t>Viteza de rotație a stocurilor a scăzut de la 64,2 la 38,1 rotații pe an, determinând o creștere a duratei medii de stocare de la 5,6 la 9,4 zile. Această evoluție este corelată cu creșterea soldului stocurilor cu 84,53% – de la 36.630 lei la 67.592 lei. Deși valorile rămân foarte bune în termeni absoluți (9,4 zile de stocare este un nivel extrem de redus), tendința de creștere a imobilizărilor în stocuri merită urmărită. Cauzele posibile includ aprovizionări anticipate sau acumularea de materiale consumabile necesare extinderii activității.</w:t>
      </w:r>
    </w:p>
    <w:p>
      <w:pPr>
        <w:pStyle w:val="Normal"/>
        <w:spacing w:before="60" w:after="60"/>
        <w:rPr/>
      </w:pPr>
      <w:r>
        <w:rPr/>
      </w:r>
    </w:p>
    <w:p>
      <w:pPr>
        <w:pStyle w:val="Heading3"/>
        <w:spacing w:before="220" w:after="120"/>
        <w:jc w:val="start"/>
        <w:rPr/>
      </w:pPr>
      <w:r>
        <w:rPr>
          <w:rFonts w:eastAsia="Times New Roman" w:cs="Times New Roman" w:ascii="Times New Roman" w:hAnsi="Times New Roman"/>
          <w:b/>
          <w:bCs/>
          <w:sz w:val="24"/>
          <w:szCs w:val="24"/>
        </w:rPr>
        <w:t>3.9.3. Viteza de rotație a activelor totale</w:t>
      </w:r>
    </w:p>
    <w:p>
      <w:pPr>
        <w:pStyle w:val="Normal"/>
        <w:spacing w:lineRule="auto" w:line="300" w:before="100" w:after="100"/>
        <w:ind w:firstLine="720"/>
        <w:rPr/>
      </w:pPr>
      <w:r>
        <w:rPr>
          <w:rFonts w:eastAsia="Times New Roman" w:cs="Times New Roman"/>
          <w:b w:val="false"/>
          <w:bCs w:val="false"/>
          <w:sz w:val="24"/>
          <w:szCs w:val="24"/>
        </w:rPr>
        <w:t>Formula de calcul: VRA = Cifra de afaceri / Total active</w:t>
      </w:r>
    </w:p>
    <w:p>
      <w:pPr>
        <w:pStyle w:val="Normal"/>
        <w:spacing w:before="60" w:after="60"/>
        <w:rPr/>
      </w:pPr>
      <w:r>
        <w:rPr/>
      </w:r>
    </w:p>
    <w:tbl>
      <w:tblPr>
        <w:tblW w:w="9360" w:type="dxa"/>
        <w:jc w:val="start"/>
        <w:tblInd w:w="0" w:type="dxa"/>
        <w:tblLayout w:type="fixed"/>
        <w:tblCellMar>
          <w:top w:w="70" w:type="dxa"/>
          <w:start w:w="100" w:type="dxa"/>
          <w:bottom w:w="70" w:type="dxa"/>
          <w:end w:w="100" w:type="dxa"/>
        </w:tblCellMar>
      </w:tblPr>
      <w:tblGrid>
        <w:gridCol w:w="3800"/>
        <w:gridCol w:w="1439"/>
        <w:gridCol w:w="1441"/>
        <w:gridCol w:w="2680"/>
      </w:tblGrid>
      <w:tr>
        <w:trPr/>
        <w:tc>
          <w:tcPr>
            <w:tcW w:w="3800"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Indicator</w:t>
            </w:r>
          </w:p>
        </w:tc>
        <w:tc>
          <w:tcPr>
            <w:tcW w:w="1439"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2024</w:t>
            </w:r>
          </w:p>
        </w:tc>
        <w:tc>
          <w:tcPr>
            <w:tcW w:w="1441"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2025</w:t>
            </w:r>
          </w:p>
        </w:tc>
        <w:tc>
          <w:tcPr>
            <w:tcW w:w="2680"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Abatere</w:t>
            </w:r>
          </w:p>
        </w:tc>
      </w:tr>
      <w:tr>
        <w:trPr/>
        <w:tc>
          <w:tcPr>
            <w:tcW w:w="38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Cifra de afaceri (lei)</w:t>
            </w:r>
          </w:p>
        </w:tc>
        <w:tc>
          <w:tcPr>
            <w:tcW w:w="143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2.158.144</w:t>
            </w:r>
          </w:p>
        </w:tc>
        <w:tc>
          <w:tcPr>
            <w:tcW w:w="144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2.543.426</w:t>
            </w:r>
          </w:p>
        </w:tc>
        <w:tc>
          <w:tcPr>
            <w:tcW w:w="268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p>
        </w:tc>
      </w:tr>
      <w:tr>
        <w:trPr/>
        <w:tc>
          <w:tcPr>
            <w:tcW w:w="38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Total active (lei)</w:t>
            </w:r>
          </w:p>
        </w:tc>
        <w:tc>
          <w:tcPr>
            <w:tcW w:w="143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1.365.413</w:t>
            </w:r>
          </w:p>
        </w:tc>
        <w:tc>
          <w:tcPr>
            <w:tcW w:w="144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1.447.772</w:t>
            </w:r>
          </w:p>
        </w:tc>
        <w:tc>
          <w:tcPr>
            <w:tcW w:w="268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p>
        </w:tc>
      </w:tr>
      <w:tr>
        <w:trPr/>
        <w:tc>
          <w:tcPr>
            <w:tcW w:w="38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bCs/>
                <w:sz w:val="20"/>
                <w:szCs w:val="20"/>
              </w:rPr>
              <w:t>Viteza rotație active totale</w:t>
            </w:r>
          </w:p>
        </w:tc>
        <w:tc>
          <w:tcPr>
            <w:tcW w:w="143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bCs/>
                <w:sz w:val="20"/>
                <w:szCs w:val="20"/>
              </w:rPr>
              <w:t>1,58 rot.</w:t>
            </w:r>
          </w:p>
        </w:tc>
        <w:tc>
          <w:tcPr>
            <w:tcW w:w="144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bCs/>
                <w:sz w:val="20"/>
                <w:szCs w:val="20"/>
              </w:rPr>
              <w:t>1,76 rot.</w:t>
            </w:r>
          </w:p>
        </w:tc>
        <w:tc>
          <w:tcPr>
            <w:tcW w:w="268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bCs/>
                <w:sz w:val="20"/>
                <w:szCs w:val="20"/>
              </w:rPr>
              <w:t>+0,18 rot.</w:t>
            </w:r>
          </w:p>
        </w:tc>
      </w:tr>
    </w:tbl>
    <w:p>
      <w:pPr>
        <w:pStyle w:val="Normal"/>
        <w:spacing w:before="80" w:after="200"/>
        <w:jc w:val="start"/>
        <w:rPr/>
      </w:pPr>
      <w:r>
        <w:rPr>
          <w:rFonts w:eastAsia="Times New Roman" w:cs="Times New Roman"/>
          <w:sz w:val="18"/>
          <w:szCs w:val="18"/>
        </w:rPr>
        <w:t>Tabelul 3.21. Viteza de rotație a activelor totale. Sursa: Calcule proprii pe baza F10 și F20.</w:t>
      </w:r>
    </w:p>
    <w:p>
      <w:pPr>
        <w:pStyle w:val="Normal"/>
        <w:spacing w:before="60" w:after="60"/>
        <w:rPr/>
      </w:pPr>
      <w:r>
        <w:rPr/>
      </w:r>
    </w:p>
    <w:p>
      <w:pPr>
        <w:pStyle w:val="Normal"/>
        <w:spacing w:lineRule="auto" w:line="300" w:before="100" w:after="100"/>
        <w:ind w:firstLine="720"/>
        <w:rPr/>
      </w:pPr>
      <w:r>
        <w:rPr>
          <w:rFonts w:eastAsia="Times New Roman" w:cs="Times New Roman"/>
          <w:b w:val="false"/>
          <w:bCs w:val="false"/>
          <w:sz w:val="24"/>
          <w:szCs w:val="24"/>
        </w:rPr>
        <w:t>Viteza de rotație a activelor totale a crescut de la 1,58 la 1,76 rotații pe an, indicând că entitatea generează tot mai mulți lei de cifră de afaceri la fiecare leu investit în active. Aceasta reflectă o utilizare mai eficientă a bazei de active, în condițiile în care cifra de afaceri a crescut cu 17,85%, iar activele totale au crescut cu numai 6,1%. Valorile superioare pragului de 1,0 rotație confirmă că entitatea nu are active subutilizate în mod semnificativ.</w:t>
      </w:r>
    </w:p>
    <w:p>
      <w:pPr>
        <w:pStyle w:val="Normal"/>
        <w:spacing w:before="60" w:after="60"/>
        <w:rPr/>
      </w:pPr>
      <w:r>
        <w:rPr/>
      </w:r>
    </w:p>
    <w:p>
      <w:pPr>
        <w:pStyle w:val="Heading3"/>
        <w:spacing w:before="220" w:after="120"/>
        <w:jc w:val="start"/>
        <w:rPr/>
      </w:pPr>
      <w:r>
        <w:rPr>
          <w:rFonts w:eastAsia="Times New Roman" w:cs="Times New Roman" w:ascii="Times New Roman" w:hAnsi="Times New Roman"/>
          <w:b/>
          <w:bCs/>
          <w:sz w:val="24"/>
          <w:szCs w:val="24"/>
        </w:rPr>
        <w:t>3.9.4. Durata medie de achitare a datoriilor</w:t>
      </w:r>
    </w:p>
    <w:p>
      <w:pPr>
        <w:pStyle w:val="Normal"/>
        <w:spacing w:lineRule="auto" w:line="300" w:before="100" w:after="100"/>
        <w:ind w:firstLine="720"/>
        <w:rPr/>
      </w:pPr>
      <w:r>
        <w:rPr>
          <w:rFonts w:eastAsia="Times New Roman" w:cs="Times New Roman"/>
          <w:b w:val="false"/>
          <w:bCs w:val="false"/>
          <w:sz w:val="24"/>
          <w:szCs w:val="24"/>
        </w:rPr>
        <w:t>Formula de calcul: Durata achitare datorii = (Total datorii / Cifra de afaceri) × 365</w:t>
      </w:r>
    </w:p>
    <w:p>
      <w:pPr>
        <w:pStyle w:val="Normal"/>
        <w:spacing w:before="60" w:after="60"/>
        <w:rPr/>
      </w:pPr>
      <w:r>
        <w:rPr/>
      </w:r>
    </w:p>
    <w:tbl>
      <w:tblPr>
        <w:tblW w:w="9360" w:type="dxa"/>
        <w:jc w:val="start"/>
        <w:tblInd w:w="0" w:type="dxa"/>
        <w:tblLayout w:type="fixed"/>
        <w:tblCellMar>
          <w:top w:w="70" w:type="dxa"/>
          <w:start w:w="100" w:type="dxa"/>
          <w:bottom w:w="70" w:type="dxa"/>
          <w:end w:w="100" w:type="dxa"/>
        </w:tblCellMar>
      </w:tblPr>
      <w:tblGrid>
        <w:gridCol w:w="3800"/>
        <w:gridCol w:w="1439"/>
        <w:gridCol w:w="1441"/>
        <w:gridCol w:w="2680"/>
      </w:tblGrid>
      <w:tr>
        <w:trPr/>
        <w:tc>
          <w:tcPr>
            <w:tcW w:w="3800"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Indicator</w:t>
            </w:r>
          </w:p>
        </w:tc>
        <w:tc>
          <w:tcPr>
            <w:tcW w:w="1439"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2024</w:t>
            </w:r>
          </w:p>
        </w:tc>
        <w:tc>
          <w:tcPr>
            <w:tcW w:w="1441"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2025</w:t>
            </w:r>
          </w:p>
        </w:tc>
        <w:tc>
          <w:tcPr>
            <w:tcW w:w="2680"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Abatere</w:t>
            </w:r>
          </w:p>
        </w:tc>
      </w:tr>
      <w:tr>
        <w:trPr/>
        <w:tc>
          <w:tcPr>
            <w:tcW w:w="38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Total datorii (lei)</w:t>
            </w:r>
          </w:p>
        </w:tc>
        <w:tc>
          <w:tcPr>
            <w:tcW w:w="143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842.942</w:t>
            </w:r>
          </w:p>
        </w:tc>
        <w:tc>
          <w:tcPr>
            <w:tcW w:w="144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843.707</w:t>
            </w:r>
          </w:p>
        </w:tc>
        <w:tc>
          <w:tcPr>
            <w:tcW w:w="268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p>
        </w:tc>
      </w:tr>
      <w:tr>
        <w:trPr/>
        <w:tc>
          <w:tcPr>
            <w:tcW w:w="38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Cifra de afaceri (lei)</w:t>
            </w:r>
          </w:p>
        </w:tc>
        <w:tc>
          <w:tcPr>
            <w:tcW w:w="143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2.158.144</w:t>
            </w:r>
          </w:p>
        </w:tc>
        <w:tc>
          <w:tcPr>
            <w:tcW w:w="144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2.543.426</w:t>
            </w:r>
          </w:p>
        </w:tc>
        <w:tc>
          <w:tcPr>
            <w:tcW w:w="268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p>
        </w:tc>
      </w:tr>
      <w:tr>
        <w:trPr/>
        <w:tc>
          <w:tcPr>
            <w:tcW w:w="38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bCs/>
                <w:sz w:val="20"/>
                <w:szCs w:val="20"/>
              </w:rPr>
              <w:t>Durata achitare datorii (zile)</w:t>
            </w:r>
          </w:p>
        </w:tc>
        <w:tc>
          <w:tcPr>
            <w:tcW w:w="143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bCs/>
                <w:sz w:val="20"/>
                <w:szCs w:val="20"/>
              </w:rPr>
              <w:t>142,6</w:t>
            </w:r>
          </w:p>
        </w:tc>
        <w:tc>
          <w:tcPr>
            <w:tcW w:w="144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bCs/>
                <w:sz w:val="20"/>
                <w:szCs w:val="20"/>
              </w:rPr>
              <w:t>121,1</w:t>
            </w:r>
          </w:p>
        </w:tc>
        <w:tc>
          <w:tcPr>
            <w:tcW w:w="268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bCs/>
                <w:sz w:val="20"/>
                <w:szCs w:val="20"/>
              </w:rPr>
              <w:t>–</w:t>
            </w:r>
            <w:r>
              <w:rPr>
                <w:rFonts w:eastAsia="Times New Roman" w:cs="Times New Roman"/>
                <w:b/>
                <w:bCs/>
                <w:sz w:val="20"/>
                <w:szCs w:val="20"/>
              </w:rPr>
              <w:t>21,5 zile</w:t>
            </w:r>
          </w:p>
        </w:tc>
      </w:tr>
    </w:tbl>
    <w:p>
      <w:pPr>
        <w:pStyle w:val="Normal"/>
        <w:spacing w:before="80" w:after="200"/>
        <w:jc w:val="start"/>
        <w:rPr/>
      </w:pPr>
      <w:r>
        <w:rPr>
          <w:rFonts w:eastAsia="Times New Roman" w:cs="Times New Roman"/>
          <w:sz w:val="18"/>
          <w:szCs w:val="18"/>
        </w:rPr>
        <w:t>Tabelul 3.22. Durata medie de achitare a datoriilor. Sursa: Calcule proprii pe baza F10 și F20.</w:t>
      </w:r>
    </w:p>
    <w:p>
      <w:pPr>
        <w:pStyle w:val="Normal"/>
        <w:spacing w:before="60" w:after="60"/>
        <w:rPr/>
      </w:pPr>
      <w:r>
        <w:rPr/>
      </w:r>
    </w:p>
    <w:p>
      <w:pPr>
        <w:pStyle w:val="Normal"/>
        <w:spacing w:lineRule="auto" w:line="300" w:before="100" w:after="100"/>
        <w:ind w:firstLine="720"/>
        <w:rPr/>
      </w:pPr>
      <w:r>
        <w:rPr>
          <w:rFonts w:eastAsia="Times New Roman" w:cs="Times New Roman"/>
          <w:b w:val="false"/>
          <w:bCs w:val="false"/>
          <w:sz w:val="24"/>
          <w:szCs w:val="24"/>
        </w:rPr>
        <w:t>Durata medie de achitare a datoriilor a scăzut de la 142,6 zile la 121,1 zile – o ameliorare de 21,5 zile care reflectă creșterea mai rapidă a cifrei de afaceri față de datorii. Această evoluție favorabilă indică o capacitate sporită de rambursare a obligațiilor față de terți. Valorile absolute rămân ridicate, dar sunt normale pentru entitățile cu active fixe predominante finanțate prin credite comerciale pe termen scurt.</w:t>
      </w:r>
    </w:p>
    <w:p>
      <w:pPr>
        <w:pStyle w:val="Normal"/>
        <w:spacing w:before="60" w:after="60"/>
        <w:rPr/>
      </w:pPr>
      <w:r>
        <w:rPr/>
      </w:r>
    </w:p>
    <w:p>
      <w:pPr>
        <w:pStyle w:val="Heading2"/>
        <w:spacing w:before="280" w:after="160"/>
        <w:jc w:val="start"/>
        <w:rPr/>
      </w:pPr>
      <w:r>
        <w:rPr>
          <w:rFonts w:eastAsia="Times New Roman" w:cs="Times New Roman" w:ascii="Times New Roman" w:hAnsi="Times New Roman"/>
          <w:b/>
          <w:bCs/>
          <w:sz w:val="26"/>
          <w:szCs w:val="26"/>
        </w:rPr>
        <w:t>3.10. Tabloul sintetic al indicatorilor economico-financiari</w:t>
      </w:r>
    </w:p>
    <w:p>
      <w:pPr>
        <w:pStyle w:val="Normal"/>
        <w:spacing w:lineRule="auto" w:line="300" w:before="100" w:after="100"/>
        <w:ind w:firstLine="720"/>
        <w:rPr/>
      </w:pPr>
      <w:r>
        <w:rPr>
          <w:rFonts w:eastAsia="Times New Roman" w:cs="Times New Roman"/>
          <w:b w:val="false"/>
          <w:bCs w:val="false"/>
          <w:sz w:val="24"/>
          <w:szCs w:val="24"/>
        </w:rPr>
        <w:t>Tabelul următor centralizează toți indicatorii calculați, cu valorile și tendința aferentă exercițiilor 2024 și 2025, oferind o imagine de ansamblu a diagnosticului financiar complet.</w:t>
      </w:r>
    </w:p>
    <w:p>
      <w:pPr>
        <w:pStyle w:val="Normal"/>
        <w:spacing w:before="60" w:after="60"/>
        <w:rPr/>
      </w:pPr>
      <w:r>
        <w:rPr/>
      </w:r>
    </w:p>
    <w:tbl>
      <w:tblPr>
        <w:tblW w:w="9360" w:type="dxa"/>
        <w:jc w:val="start"/>
        <w:tblInd w:w="0" w:type="dxa"/>
        <w:tblLayout w:type="fixed"/>
        <w:tblCellMar>
          <w:top w:w="70" w:type="dxa"/>
          <w:start w:w="100" w:type="dxa"/>
          <w:bottom w:w="70" w:type="dxa"/>
          <w:end w:w="100" w:type="dxa"/>
        </w:tblCellMar>
      </w:tblPr>
      <w:tblGrid>
        <w:gridCol w:w="3399"/>
        <w:gridCol w:w="1300"/>
        <w:gridCol w:w="1300"/>
        <w:gridCol w:w="1100"/>
        <w:gridCol w:w="2261"/>
      </w:tblGrid>
      <w:tr>
        <w:trPr/>
        <w:tc>
          <w:tcPr>
            <w:tcW w:w="3399"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Indicator</w:t>
            </w:r>
          </w:p>
        </w:tc>
        <w:tc>
          <w:tcPr>
            <w:tcW w:w="1300"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2024</w:t>
            </w:r>
          </w:p>
        </w:tc>
        <w:tc>
          <w:tcPr>
            <w:tcW w:w="1300"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2025</w:t>
            </w:r>
          </w:p>
        </w:tc>
        <w:tc>
          <w:tcPr>
            <w:tcW w:w="1100"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Tendință</w:t>
            </w:r>
          </w:p>
        </w:tc>
        <w:tc>
          <w:tcPr>
            <w:tcW w:w="2261"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Apreciere</w:t>
            </w:r>
          </w:p>
        </w:tc>
      </w:tr>
      <w:tr>
        <w:trPr/>
        <w:tc>
          <w:tcPr>
            <w:tcW w:w="33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Cifra de afaceri (lei)</w:t>
            </w:r>
          </w:p>
        </w:tc>
        <w:tc>
          <w:tcPr>
            <w:tcW w:w="13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2.158.144</w:t>
            </w:r>
          </w:p>
        </w:tc>
        <w:tc>
          <w:tcPr>
            <w:tcW w:w="13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2.543.426</w:t>
            </w:r>
          </w:p>
        </w:tc>
        <w:tc>
          <w:tcPr>
            <w:tcW w:w="11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p>
        </w:tc>
        <w:tc>
          <w:tcPr>
            <w:tcW w:w="226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+17,85%</w:t>
            </w:r>
          </w:p>
        </w:tc>
      </w:tr>
      <w:tr>
        <w:trPr/>
        <w:tc>
          <w:tcPr>
            <w:tcW w:w="33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Total venituri (lei)</w:t>
            </w:r>
          </w:p>
        </w:tc>
        <w:tc>
          <w:tcPr>
            <w:tcW w:w="13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2.307.332</w:t>
            </w:r>
          </w:p>
        </w:tc>
        <w:tc>
          <w:tcPr>
            <w:tcW w:w="13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2.659.152</w:t>
            </w:r>
          </w:p>
        </w:tc>
        <w:tc>
          <w:tcPr>
            <w:tcW w:w="11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p>
        </w:tc>
        <w:tc>
          <w:tcPr>
            <w:tcW w:w="226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+15,25%</w:t>
            </w:r>
          </w:p>
        </w:tc>
      </w:tr>
      <w:tr>
        <w:trPr/>
        <w:tc>
          <w:tcPr>
            <w:tcW w:w="33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Total cheltuieli (lei)</w:t>
            </w:r>
          </w:p>
        </w:tc>
        <w:tc>
          <w:tcPr>
            <w:tcW w:w="13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2.350.043</w:t>
            </w:r>
          </w:p>
        </w:tc>
        <w:tc>
          <w:tcPr>
            <w:tcW w:w="13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2.577.298</w:t>
            </w:r>
          </w:p>
        </w:tc>
        <w:tc>
          <w:tcPr>
            <w:tcW w:w="11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p>
        </w:tc>
        <w:tc>
          <w:tcPr>
            <w:tcW w:w="226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+9,67%</w:t>
            </w:r>
          </w:p>
        </w:tc>
      </w:tr>
      <w:tr>
        <w:trPr/>
        <w:tc>
          <w:tcPr>
            <w:tcW w:w="33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Profit net / (Pierdere) (lei)</w:t>
            </w:r>
          </w:p>
        </w:tc>
        <w:tc>
          <w:tcPr>
            <w:tcW w:w="13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r>
              <w:rPr>
                <w:rFonts w:eastAsia="Times New Roman" w:cs="Times New Roman"/>
                <w:b w:val="false"/>
                <w:bCs w:val="false"/>
                <w:sz w:val="20"/>
                <w:szCs w:val="20"/>
              </w:rPr>
              <w:t>42.711</w:t>
            </w:r>
          </w:p>
        </w:tc>
        <w:tc>
          <w:tcPr>
            <w:tcW w:w="13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81.854</w:t>
            </w:r>
          </w:p>
        </w:tc>
        <w:tc>
          <w:tcPr>
            <w:tcW w:w="11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p>
        </w:tc>
        <w:tc>
          <w:tcPr>
            <w:tcW w:w="226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Redresare</w:t>
            </w:r>
          </w:p>
        </w:tc>
      </w:tr>
      <w:tr>
        <w:trPr/>
        <w:tc>
          <w:tcPr>
            <w:tcW w:w="33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Rata rent. comerciale</w:t>
            </w:r>
          </w:p>
        </w:tc>
        <w:tc>
          <w:tcPr>
            <w:tcW w:w="13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r>
              <w:rPr>
                <w:rFonts w:eastAsia="Times New Roman" w:cs="Times New Roman"/>
                <w:b w:val="false"/>
                <w:bCs w:val="false"/>
                <w:sz w:val="20"/>
                <w:szCs w:val="20"/>
              </w:rPr>
              <w:t>1,98%</w:t>
            </w:r>
          </w:p>
        </w:tc>
        <w:tc>
          <w:tcPr>
            <w:tcW w:w="13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3,22%</w:t>
            </w:r>
          </w:p>
        </w:tc>
        <w:tc>
          <w:tcPr>
            <w:tcW w:w="11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p>
        </w:tc>
        <w:tc>
          <w:tcPr>
            <w:tcW w:w="226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Pozitiv</w:t>
            </w:r>
          </w:p>
        </w:tc>
      </w:tr>
      <w:tr>
        <w:trPr/>
        <w:tc>
          <w:tcPr>
            <w:tcW w:w="33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Rata rent. economice (ROA)</w:t>
            </w:r>
          </w:p>
        </w:tc>
        <w:tc>
          <w:tcPr>
            <w:tcW w:w="13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r>
              <w:rPr>
                <w:rFonts w:eastAsia="Times New Roman" w:cs="Times New Roman"/>
                <w:b w:val="false"/>
                <w:bCs w:val="false"/>
                <w:sz w:val="20"/>
                <w:szCs w:val="20"/>
              </w:rPr>
              <w:t>3,13%</w:t>
            </w:r>
          </w:p>
        </w:tc>
        <w:tc>
          <w:tcPr>
            <w:tcW w:w="13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5,65%</w:t>
            </w:r>
          </w:p>
        </w:tc>
        <w:tc>
          <w:tcPr>
            <w:tcW w:w="11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p>
        </w:tc>
        <w:tc>
          <w:tcPr>
            <w:tcW w:w="226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Pozitiv</w:t>
            </w:r>
          </w:p>
        </w:tc>
      </w:tr>
      <w:tr>
        <w:trPr/>
        <w:tc>
          <w:tcPr>
            <w:tcW w:w="33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Rata rent. financiare (ROE)</w:t>
            </w:r>
          </w:p>
        </w:tc>
        <w:tc>
          <w:tcPr>
            <w:tcW w:w="13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r>
              <w:rPr>
                <w:rFonts w:eastAsia="Times New Roman" w:cs="Times New Roman"/>
                <w:b w:val="false"/>
                <w:bCs w:val="false"/>
                <w:sz w:val="20"/>
                <w:szCs w:val="20"/>
              </w:rPr>
              <w:t>8,17%</w:t>
            </w:r>
          </w:p>
        </w:tc>
        <w:tc>
          <w:tcPr>
            <w:tcW w:w="13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13,55%</w:t>
            </w:r>
          </w:p>
        </w:tc>
        <w:tc>
          <w:tcPr>
            <w:tcW w:w="11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p>
        </w:tc>
        <w:tc>
          <w:tcPr>
            <w:tcW w:w="226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Pozitiv</w:t>
            </w:r>
          </w:p>
        </w:tc>
      </w:tr>
      <w:tr>
        <w:trPr/>
        <w:tc>
          <w:tcPr>
            <w:tcW w:w="33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Marja netă a profitului</w:t>
            </w:r>
          </w:p>
        </w:tc>
        <w:tc>
          <w:tcPr>
            <w:tcW w:w="13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r>
              <w:rPr>
                <w:rFonts w:eastAsia="Times New Roman" w:cs="Times New Roman"/>
                <w:b w:val="false"/>
                <w:bCs w:val="false"/>
                <w:sz w:val="20"/>
                <w:szCs w:val="20"/>
              </w:rPr>
              <w:t>1,85%</w:t>
            </w:r>
          </w:p>
        </w:tc>
        <w:tc>
          <w:tcPr>
            <w:tcW w:w="13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3,08%</w:t>
            </w:r>
          </w:p>
        </w:tc>
        <w:tc>
          <w:tcPr>
            <w:tcW w:w="11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p>
        </w:tc>
        <w:tc>
          <w:tcPr>
            <w:tcW w:w="226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Pozitiv</w:t>
            </w:r>
          </w:p>
        </w:tc>
      </w:tr>
      <w:tr>
        <w:trPr/>
        <w:tc>
          <w:tcPr>
            <w:tcW w:w="33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Rata chelt. de exploatare</w:t>
            </w:r>
          </w:p>
        </w:tc>
        <w:tc>
          <w:tcPr>
            <w:tcW w:w="13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101,85%</w:t>
            </w:r>
          </w:p>
        </w:tc>
        <w:tc>
          <w:tcPr>
            <w:tcW w:w="13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96,92%</w:t>
            </w:r>
          </w:p>
        </w:tc>
        <w:tc>
          <w:tcPr>
            <w:tcW w:w="11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p>
        </w:tc>
        <w:tc>
          <w:tcPr>
            <w:tcW w:w="226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Favorabil</w:t>
            </w:r>
          </w:p>
        </w:tc>
      </w:tr>
      <w:tr>
        <w:trPr/>
        <w:tc>
          <w:tcPr>
            <w:tcW w:w="33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Pond. chelt. personal</w:t>
            </w:r>
          </w:p>
        </w:tc>
        <w:tc>
          <w:tcPr>
            <w:tcW w:w="13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27,52%</w:t>
            </w:r>
          </w:p>
        </w:tc>
        <w:tc>
          <w:tcPr>
            <w:tcW w:w="13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30,39%</w:t>
            </w:r>
          </w:p>
        </w:tc>
        <w:tc>
          <w:tcPr>
            <w:tcW w:w="11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p>
        </w:tc>
        <w:tc>
          <w:tcPr>
            <w:tcW w:w="226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De monitorizat</w:t>
            </w:r>
          </w:p>
        </w:tc>
      </w:tr>
      <w:tr>
        <w:trPr/>
        <w:tc>
          <w:tcPr>
            <w:tcW w:w="33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Lichiditate curentă</w:t>
            </w:r>
          </w:p>
        </w:tc>
        <w:tc>
          <w:tcPr>
            <w:tcW w:w="13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0,107</w:t>
            </w:r>
          </w:p>
        </w:tc>
        <w:tc>
          <w:tcPr>
            <w:tcW w:w="13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0,153</w:t>
            </w:r>
          </w:p>
        </w:tc>
        <w:tc>
          <w:tcPr>
            <w:tcW w:w="11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p>
        </w:tc>
        <w:tc>
          <w:tcPr>
            <w:tcW w:w="226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Critic – sub 1</w:t>
            </w:r>
          </w:p>
        </w:tc>
      </w:tr>
      <w:tr>
        <w:trPr/>
        <w:tc>
          <w:tcPr>
            <w:tcW w:w="33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Lichiditate rapidă</w:t>
            </w:r>
          </w:p>
        </w:tc>
        <w:tc>
          <w:tcPr>
            <w:tcW w:w="13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0,054</w:t>
            </w:r>
          </w:p>
        </w:tc>
        <w:tc>
          <w:tcPr>
            <w:tcW w:w="13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0,064</w:t>
            </w:r>
          </w:p>
        </w:tc>
        <w:tc>
          <w:tcPr>
            <w:tcW w:w="11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p>
        </w:tc>
        <w:tc>
          <w:tcPr>
            <w:tcW w:w="226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Critic – sub 0,8</w:t>
            </w:r>
          </w:p>
        </w:tc>
      </w:tr>
      <w:tr>
        <w:trPr/>
        <w:tc>
          <w:tcPr>
            <w:tcW w:w="33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Lichiditate imediată</w:t>
            </w:r>
          </w:p>
        </w:tc>
        <w:tc>
          <w:tcPr>
            <w:tcW w:w="13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0,015</w:t>
            </w:r>
          </w:p>
        </w:tc>
        <w:tc>
          <w:tcPr>
            <w:tcW w:w="13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0,036</w:t>
            </w:r>
          </w:p>
        </w:tc>
        <w:tc>
          <w:tcPr>
            <w:tcW w:w="11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p>
        </w:tc>
        <w:tc>
          <w:tcPr>
            <w:tcW w:w="226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Critic – sub 0,3</w:t>
            </w:r>
          </w:p>
        </w:tc>
      </w:tr>
      <w:tr>
        <w:trPr/>
        <w:tc>
          <w:tcPr>
            <w:tcW w:w="33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Solvabilitate generală</w:t>
            </w:r>
          </w:p>
        </w:tc>
        <w:tc>
          <w:tcPr>
            <w:tcW w:w="13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162,0%</w:t>
            </w:r>
          </w:p>
        </w:tc>
        <w:tc>
          <w:tcPr>
            <w:tcW w:w="13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171,6%</w:t>
            </w:r>
          </w:p>
        </w:tc>
        <w:tc>
          <w:tcPr>
            <w:tcW w:w="11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p>
        </w:tc>
        <w:tc>
          <w:tcPr>
            <w:tcW w:w="226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Satisfăcător</w:t>
            </w:r>
          </w:p>
        </w:tc>
      </w:tr>
      <w:tr>
        <w:trPr/>
        <w:tc>
          <w:tcPr>
            <w:tcW w:w="33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Grad de îndatorare</w:t>
            </w:r>
          </w:p>
        </w:tc>
        <w:tc>
          <w:tcPr>
            <w:tcW w:w="13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61,7%</w:t>
            </w:r>
          </w:p>
        </w:tc>
        <w:tc>
          <w:tcPr>
            <w:tcW w:w="13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58,3%</w:t>
            </w:r>
          </w:p>
        </w:tc>
        <w:tc>
          <w:tcPr>
            <w:tcW w:w="11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p>
        </w:tc>
        <w:tc>
          <w:tcPr>
            <w:tcW w:w="226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De redus</w:t>
            </w:r>
          </w:p>
        </w:tc>
      </w:tr>
      <w:tr>
        <w:trPr/>
        <w:tc>
          <w:tcPr>
            <w:tcW w:w="33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Autonomie financiară</w:t>
            </w:r>
          </w:p>
        </w:tc>
        <w:tc>
          <w:tcPr>
            <w:tcW w:w="13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38,3%</w:t>
            </w:r>
          </w:p>
        </w:tc>
        <w:tc>
          <w:tcPr>
            <w:tcW w:w="13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41,7%</w:t>
            </w:r>
          </w:p>
        </w:tc>
        <w:tc>
          <w:tcPr>
            <w:tcW w:w="11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p>
        </w:tc>
        <w:tc>
          <w:tcPr>
            <w:tcW w:w="226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În creștere</w:t>
            </w:r>
          </w:p>
        </w:tc>
      </w:tr>
      <w:tr>
        <w:trPr/>
        <w:tc>
          <w:tcPr>
            <w:tcW w:w="33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Fond de rulment (lei)</w:t>
            </w:r>
          </w:p>
        </w:tc>
        <w:tc>
          <w:tcPr>
            <w:tcW w:w="13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r>
              <w:rPr>
                <w:rFonts w:eastAsia="Times New Roman" w:cs="Times New Roman"/>
                <w:b w:val="false"/>
                <w:bCs w:val="false"/>
                <w:sz w:val="20"/>
                <w:szCs w:val="20"/>
              </w:rPr>
              <w:t>625.793</w:t>
            </w:r>
          </w:p>
        </w:tc>
        <w:tc>
          <w:tcPr>
            <w:tcW w:w="13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r>
              <w:rPr>
                <w:rFonts w:eastAsia="Times New Roman" w:cs="Times New Roman"/>
                <w:b w:val="false"/>
                <w:bCs w:val="false"/>
                <w:sz w:val="20"/>
                <w:szCs w:val="20"/>
              </w:rPr>
              <w:t>645.272</w:t>
            </w:r>
          </w:p>
        </w:tc>
        <w:tc>
          <w:tcPr>
            <w:tcW w:w="11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p>
        </w:tc>
        <w:tc>
          <w:tcPr>
            <w:tcW w:w="226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Negativ – risc</w:t>
            </w:r>
          </w:p>
        </w:tc>
      </w:tr>
      <w:tr>
        <w:trPr/>
        <w:tc>
          <w:tcPr>
            <w:tcW w:w="33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Necesar fond de rulment (lei)</w:t>
            </w:r>
          </w:p>
        </w:tc>
        <w:tc>
          <w:tcPr>
            <w:tcW w:w="13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r>
              <w:rPr>
                <w:rFonts w:eastAsia="Times New Roman" w:cs="Times New Roman"/>
                <w:b w:val="false"/>
                <w:bCs w:val="false"/>
                <w:sz w:val="20"/>
                <w:szCs w:val="20"/>
              </w:rPr>
              <w:t>662.423</w:t>
            </w:r>
          </w:p>
        </w:tc>
        <w:tc>
          <w:tcPr>
            <w:tcW w:w="13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r>
              <w:rPr>
                <w:rFonts w:eastAsia="Times New Roman" w:cs="Times New Roman"/>
                <w:b w:val="false"/>
                <w:bCs w:val="false"/>
                <w:sz w:val="20"/>
                <w:szCs w:val="20"/>
              </w:rPr>
              <w:t>713.123</w:t>
            </w:r>
          </w:p>
        </w:tc>
        <w:tc>
          <w:tcPr>
            <w:tcW w:w="11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p>
        </w:tc>
        <w:tc>
          <w:tcPr>
            <w:tcW w:w="226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Negativ</w:t>
            </w:r>
          </w:p>
        </w:tc>
      </w:tr>
      <w:tr>
        <w:trPr/>
        <w:tc>
          <w:tcPr>
            <w:tcW w:w="33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Trezorerie netă (lei)</w:t>
            </w:r>
          </w:p>
        </w:tc>
        <w:tc>
          <w:tcPr>
            <w:tcW w:w="13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36.630</w:t>
            </w:r>
          </w:p>
        </w:tc>
        <w:tc>
          <w:tcPr>
            <w:tcW w:w="13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67.851</w:t>
            </w:r>
          </w:p>
        </w:tc>
        <w:tc>
          <w:tcPr>
            <w:tcW w:w="11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p>
        </w:tc>
        <w:tc>
          <w:tcPr>
            <w:tcW w:w="226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Pozitiv</w:t>
            </w:r>
          </w:p>
        </w:tc>
      </w:tr>
      <w:tr>
        <w:trPr/>
        <w:tc>
          <w:tcPr>
            <w:tcW w:w="33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Viteza rotație creanțe (rot.)</w:t>
            </w:r>
          </w:p>
        </w:tc>
        <w:tc>
          <w:tcPr>
            <w:tcW w:w="13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78,7</w:t>
            </w:r>
          </w:p>
        </w:tc>
        <w:tc>
          <w:tcPr>
            <w:tcW w:w="13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119,4</w:t>
            </w:r>
          </w:p>
        </w:tc>
        <w:tc>
          <w:tcPr>
            <w:tcW w:w="11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p>
        </w:tc>
        <w:tc>
          <w:tcPr>
            <w:tcW w:w="226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Excelent</w:t>
            </w:r>
          </w:p>
        </w:tc>
      </w:tr>
      <w:tr>
        <w:trPr/>
        <w:tc>
          <w:tcPr>
            <w:tcW w:w="33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Durata încasare creanțe (zile)</w:t>
            </w:r>
          </w:p>
        </w:tc>
        <w:tc>
          <w:tcPr>
            <w:tcW w:w="13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4,6</w:t>
            </w:r>
          </w:p>
        </w:tc>
        <w:tc>
          <w:tcPr>
            <w:tcW w:w="13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3,0</w:t>
            </w:r>
          </w:p>
        </w:tc>
        <w:tc>
          <w:tcPr>
            <w:tcW w:w="11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p>
        </w:tc>
        <w:tc>
          <w:tcPr>
            <w:tcW w:w="226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Excelent</w:t>
            </w:r>
          </w:p>
        </w:tc>
      </w:tr>
      <w:tr>
        <w:trPr/>
        <w:tc>
          <w:tcPr>
            <w:tcW w:w="33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Viteza rotație stocuri (rot.)</w:t>
            </w:r>
          </w:p>
        </w:tc>
        <w:tc>
          <w:tcPr>
            <w:tcW w:w="13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64,2</w:t>
            </w:r>
          </w:p>
        </w:tc>
        <w:tc>
          <w:tcPr>
            <w:tcW w:w="13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38,1</w:t>
            </w:r>
          </w:p>
        </w:tc>
        <w:tc>
          <w:tcPr>
            <w:tcW w:w="11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p>
        </w:tc>
        <w:tc>
          <w:tcPr>
            <w:tcW w:w="226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Atenție trend</w:t>
            </w:r>
          </w:p>
        </w:tc>
      </w:tr>
      <w:tr>
        <w:trPr/>
        <w:tc>
          <w:tcPr>
            <w:tcW w:w="33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Viteza rotație active totale</w:t>
            </w:r>
          </w:p>
        </w:tc>
        <w:tc>
          <w:tcPr>
            <w:tcW w:w="13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1,58</w:t>
            </w:r>
          </w:p>
        </w:tc>
        <w:tc>
          <w:tcPr>
            <w:tcW w:w="13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1,76</w:t>
            </w:r>
          </w:p>
        </w:tc>
        <w:tc>
          <w:tcPr>
            <w:tcW w:w="11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p>
        </w:tc>
        <w:tc>
          <w:tcPr>
            <w:tcW w:w="226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Favorabil</w:t>
            </w:r>
          </w:p>
        </w:tc>
      </w:tr>
      <w:tr>
        <w:trPr/>
        <w:tc>
          <w:tcPr>
            <w:tcW w:w="33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Durata achitare datorii (zile)</w:t>
            </w:r>
          </w:p>
        </w:tc>
        <w:tc>
          <w:tcPr>
            <w:tcW w:w="13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142,6</w:t>
            </w:r>
          </w:p>
        </w:tc>
        <w:tc>
          <w:tcPr>
            <w:tcW w:w="13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121,1</w:t>
            </w:r>
          </w:p>
        </w:tc>
        <w:tc>
          <w:tcPr>
            <w:tcW w:w="11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p>
        </w:tc>
        <w:tc>
          <w:tcPr>
            <w:tcW w:w="226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Îmbunătățit</w:t>
            </w:r>
          </w:p>
        </w:tc>
      </w:tr>
    </w:tbl>
    <w:p>
      <w:pPr>
        <w:pStyle w:val="Normal"/>
        <w:spacing w:before="80" w:after="200"/>
        <w:jc w:val="start"/>
        <w:rPr/>
      </w:pPr>
      <w:r>
        <w:rPr>
          <w:rFonts w:eastAsia="Times New Roman" w:cs="Times New Roman"/>
          <w:sz w:val="18"/>
          <w:szCs w:val="18"/>
        </w:rPr>
        <w:t>Tabelul 3.23. Tabloul sintetic complet al indicatorilor economico-financiari, exercițiile 2024–2025. Sursa: Calcule proprii pe baza bilanțului F10 și contului de profit și pierdere F20.</w:t>
      </w:r>
    </w:p>
    <w:p>
      <w:pPr>
        <w:pStyle w:val="Normal"/>
        <w:spacing w:before="60" w:after="60"/>
        <w:rPr/>
      </w:pPr>
      <w:r>
        <w:rPr/>
      </w:r>
    </w:p>
    <w:p>
      <w:pPr>
        <w:pStyle w:val="Heading2"/>
        <w:spacing w:before="280" w:after="160"/>
        <w:jc w:val="start"/>
        <w:rPr/>
      </w:pPr>
      <w:r>
        <w:rPr>
          <w:rFonts w:eastAsia="Times New Roman" w:cs="Times New Roman" w:ascii="Times New Roman" w:hAnsi="Times New Roman"/>
          <w:b/>
          <w:bCs/>
          <w:sz w:val="26"/>
          <w:szCs w:val="26"/>
        </w:rPr>
        <w:t>3.11. Sinteza diagnosticului financiar și concluzii de capitol</w:t>
      </w:r>
    </w:p>
    <w:p>
      <w:pPr>
        <w:pStyle w:val="Normal"/>
        <w:spacing w:lineRule="auto" w:line="300" w:before="100" w:after="100"/>
        <w:ind w:firstLine="720"/>
        <w:rPr/>
      </w:pPr>
      <w:r>
        <w:rPr>
          <w:rFonts w:eastAsia="Times New Roman" w:cs="Times New Roman"/>
          <w:b w:val="false"/>
          <w:bCs w:val="false"/>
          <w:sz w:val="24"/>
          <w:szCs w:val="24"/>
        </w:rPr>
        <w:t>Analiza celor 24 de indicatori economico-financiari calculați pentru exercițiile 2024 și 2025 evidențiază o imagine duală a entității: pe de o parte, o redresare autentică și susținută din perspectiva rentabilității și a gestionării eficiente a creanțelor; pe de altă parte, vulnerabilități structurale persistente în zona lichidității imediate și a echilibrului financiar pe termen lung.</w:t>
      </w:r>
    </w:p>
    <w:p>
      <w:pPr>
        <w:pStyle w:val="Normal"/>
        <w:spacing w:lineRule="auto" w:line="300" w:before="100" w:after="100"/>
        <w:ind w:firstLine="720"/>
        <w:rPr/>
      </w:pPr>
      <w:r>
        <w:rPr>
          <w:rFonts w:eastAsia="Times New Roman" w:cs="Times New Roman"/>
          <w:b w:val="false"/>
          <w:bCs w:val="false"/>
          <w:sz w:val="24"/>
          <w:szCs w:val="24"/>
        </w:rPr>
        <w:t>Aspectele pozitive sunt incontestabile: cifra de afaceri a crescut cu 17,85%, profitul net a inversat semnul față de 2024 (de la o pierdere de 42.711 lei la un profit de 81.854 lei), toate ratele de rentabilitate s-au îmbunătățit substanțial, viteza de rotație a creanțelor este excepțional de ridicată, iar trezoreria netă a crescut cu 85,2%. Capitalurile proprii s-au consolidat prin reinvestirea profitului, gradul de îndatorare a scăzut, iar eficiența utilizării activelor a crescut.</w:t>
      </w:r>
    </w:p>
    <w:p>
      <w:pPr>
        <w:pStyle w:val="Normal"/>
        <w:spacing w:lineRule="auto" w:line="300" w:before="100" w:after="100"/>
        <w:ind w:firstLine="720"/>
        <w:rPr/>
      </w:pPr>
      <w:r>
        <w:rPr>
          <w:rFonts w:eastAsia="Times New Roman" w:cs="Times New Roman"/>
          <w:b w:val="false"/>
          <w:bCs w:val="false"/>
          <w:sz w:val="24"/>
          <w:szCs w:val="24"/>
        </w:rPr>
        <w:t>Vulnerabilitățile identificate sunt, în egală măsură, reale și semnificative: lichiditatea curentă (0,153) și cea rapidă (0,064) sunt cu mult sub minimul recomandat, fondul de rulment negativ (–645.272 lei) indică un dezechilibru structural persistent, iar cheltuielile cu personalul au crescut mai rapid decât veniturile. Aceste aspecte nu pun în pericol imediat continuitatea activității, dar necesită atenție managerială și măsuri de corecție pe termen mediu.</w:t>
      </w:r>
    </w:p>
    <w:p>
      <w:pPr>
        <w:pStyle w:val="Normal"/>
        <w:spacing w:lineRule="auto" w:line="300" w:before="100" w:after="100"/>
        <w:ind w:firstLine="720"/>
        <w:rPr/>
      </w:pPr>
      <w:r>
        <w:rPr>
          <w:rFonts w:eastAsia="Times New Roman" w:cs="Times New Roman"/>
          <w:b w:val="false"/>
          <w:bCs w:val="false"/>
          <w:sz w:val="24"/>
          <w:szCs w:val="24"/>
        </w:rPr>
        <w:t>În ansamblul său, entitatea traversează o fază de redresare cu fundamentare economică reală, iar indicatorii din 2025 oferă premise favorabile pentru consolidarea performanței în exercițiile viitoare, cu condiția gestionării riguroase a structurii financiare și a controlului cheltuielilor cu personalul.</w:t>
      </w:r>
    </w:p>
    <w:p>
      <w:pPr>
        <w:pStyle w:val="Normal"/>
        <w:spacing w:before="60" w:after="60"/>
        <w:rPr/>
      </w:pPr>
      <w:r>
        <w:rPr/>
      </w:r>
    </w:p>
    <w:p>
      <w:pPr>
        <w:pStyle w:val="Normal"/>
        <w:rPr/>
      </w:pPr>
      <w:r>
        <w:rPr/>
      </w:r>
      <w:r>
        <w:br w:type="page"/>
      </w:r>
    </w:p>
    <w:p>
      <w:pPr>
        <w:pStyle w:val="Heading1"/>
        <w:spacing w:before="0" w:after="260"/>
        <w:jc w:val="center"/>
        <w:rPr/>
      </w:pPr>
      <w:r>
        <w:rPr>
          <w:rFonts w:eastAsia="Times New Roman" w:cs="Times New Roman" w:ascii="Times New Roman" w:hAnsi="Times New Roman"/>
          <w:b/>
          <w:bCs/>
          <w:caps/>
          <w:sz w:val="28"/>
          <w:szCs w:val="28"/>
        </w:rPr>
        <w:t>CAPITOLUL 4 – SISTEM INFORMATIC PENTRU GESTIUNEA ȘI ANALIZA DATELOR FINANCIARE</w:t>
      </w:r>
    </w:p>
    <w:p>
      <w:pPr>
        <w:pStyle w:val="Normal"/>
        <w:spacing w:before="60" w:after="60"/>
        <w:rPr/>
      </w:pPr>
      <w:r>
        <w:rPr/>
      </w:r>
    </w:p>
    <w:p>
      <w:pPr>
        <w:pStyle w:val="Heading2"/>
        <w:spacing w:before="280" w:after="160"/>
        <w:jc w:val="start"/>
        <w:rPr/>
      </w:pPr>
      <w:r>
        <w:rPr>
          <w:rFonts w:eastAsia="Times New Roman" w:cs="Times New Roman" w:ascii="Times New Roman" w:hAnsi="Times New Roman"/>
          <w:b/>
          <w:bCs/>
          <w:sz w:val="26"/>
          <w:szCs w:val="26"/>
        </w:rPr>
        <w:t>4.1. Contextul și necesitatea implementării unui sistem informatic</w:t>
      </w:r>
    </w:p>
    <w:p>
      <w:pPr>
        <w:pStyle w:val="Normal"/>
        <w:spacing w:lineRule="auto" w:line="300" w:before="100" w:after="100"/>
        <w:ind w:firstLine="720"/>
        <w:rPr/>
      </w:pPr>
      <w:r>
        <w:rPr>
          <w:rFonts w:eastAsia="Times New Roman" w:cs="Times New Roman"/>
          <w:b w:val="false"/>
          <w:bCs w:val="false"/>
          <w:sz w:val="24"/>
          <w:szCs w:val="24"/>
        </w:rPr>
        <w:t>Economia digitală contemporană impune entităților economice, indiferent de dimensiunea lor, adoptarea unor instrumente informatice capabile să automatizeze prelucrarea datelor, să reducă riscul de eroare umană și să furnizeze informații decizionale în timp real. Managementul financiar clasic, bazat pe calcule manuale și foi de calcul nestructurate, nu mai răspunde în mod satisfăcător cerințelor de rapiditate, acuratețe și trasabilitate ale unui mediu de afaceri tot mai complex și mai reglementat.</w:t>
      </w:r>
    </w:p>
    <w:p>
      <w:pPr>
        <w:pStyle w:val="Normal"/>
        <w:spacing w:lineRule="auto" w:line="300" w:before="100" w:after="100"/>
        <w:ind w:firstLine="720"/>
        <w:rPr/>
      </w:pPr>
      <w:r>
        <w:rPr>
          <w:rFonts w:eastAsia="Times New Roman" w:cs="Times New Roman"/>
          <w:b w:val="false"/>
          <w:bCs w:val="false"/>
          <w:sz w:val="24"/>
          <w:szCs w:val="24"/>
        </w:rPr>
        <w:t>În cazul entității analizate, volumul datelor financiare – structurate pe mai mulți ani de exercițiu și pe zeci de indicatori interconectați – justifică implementarea unui sistem informatic dedicat, care să centralizeze datele brute, să calculeze automat indicatorii derivați și să genereze rapoarte vizuale interpretabile de utilizatori fără pregătire contabilă de specialitate. Platforma aleasă pentru această implementare este Microsoft Access, un sistem de gestiune a bazelor de date relaționale (SGBD) inclus în suita Microsoft Office, cu o arhitectură flexibilă, un motor de interogări SQL nativ și instrumente vizuale integrate de creare a formularelor și rapoartelor.</w:t>
      </w:r>
    </w:p>
    <w:p>
      <w:pPr>
        <w:pStyle w:val="Normal"/>
        <w:spacing w:lineRule="auto" w:line="300" w:before="100" w:after="100"/>
        <w:ind w:firstLine="720"/>
        <w:rPr/>
      </w:pPr>
      <w:r>
        <w:rPr>
          <w:rFonts w:eastAsia="Times New Roman" w:cs="Times New Roman"/>
          <w:b w:val="false"/>
          <w:bCs w:val="false"/>
          <w:sz w:val="24"/>
          <w:szCs w:val="24"/>
        </w:rPr>
        <w:t>Alegerea Microsoft Access față de alternative precum Excel, SQL Server sau soluții ERP complete se justifică prin mai mulți factori practici: familiaritatea utilizatorilor cu interfața Microsoft Office reduce costurile de formare; mediul de proiectare vizual (Design View, Query Design Grid) permite construirea logicii de calcul fără cunoștințe avansate de programare; dimensiunea datelor – câteva zeci de câmpuri pe an financiar – nu necesită un motor de baze de date de tip enterprise; și, nu în ultimul rând, portabilitatea fișierului .accdb permite distribuirea și utilizarea aplicației pe orice stație cu Microsoft Office instalat, fără costuri de infrastructură suplimentare.</w:t>
      </w:r>
    </w:p>
    <w:p>
      <w:pPr>
        <w:pStyle w:val="Normal"/>
        <w:spacing w:before="60" w:after="60"/>
        <w:rPr/>
      </w:pPr>
      <w:r>
        <w:rPr/>
      </w:r>
    </w:p>
    <w:p>
      <w:pPr>
        <w:pStyle w:val="Heading2"/>
        <w:spacing w:before="280" w:after="160"/>
        <w:jc w:val="start"/>
        <w:rPr/>
      </w:pPr>
      <w:r>
        <w:rPr>
          <w:rFonts w:eastAsia="Times New Roman" w:cs="Times New Roman" w:ascii="Times New Roman" w:hAnsi="Times New Roman"/>
          <w:b/>
          <w:bCs/>
          <w:sz w:val="26"/>
          <w:szCs w:val="26"/>
        </w:rPr>
        <w:t>4.2. Arhitectura generală a aplicației informatice</w:t>
      </w:r>
    </w:p>
    <w:p>
      <w:pPr>
        <w:pStyle w:val="Normal"/>
        <w:spacing w:lineRule="auto" w:line="300" w:before="100" w:after="100"/>
        <w:ind w:firstLine="720"/>
        <w:rPr/>
      </w:pPr>
      <w:r>
        <w:rPr>
          <w:rFonts w:eastAsia="Times New Roman" w:cs="Times New Roman"/>
          <w:b w:val="false"/>
          <w:bCs w:val="false"/>
          <w:sz w:val="24"/>
          <w:szCs w:val="24"/>
        </w:rPr>
        <w:t>Din perspectivă arhitecturală, aplicația proiectată respectă principiul separării preocupărilor (Separation of Concerns), organizând componentele pe trei niveluri funcționale distincte, fiecare cu un rol bine definit în fluxul de prelucrare a informației.</w:t>
      </w:r>
    </w:p>
    <w:p>
      <w:pPr>
        <w:pStyle w:val="Normal"/>
        <w:spacing w:before="60" w:after="60"/>
        <w:rPr/>
      </w:pPr>
      <w:r>
        <w:rPr/>
      </w:r>
    </w:p>
    <w:tbl>
      <w:tblPr>
        <w:tblW w:w="9360" w:type="dxa"/>
        <w:jc w:val="start"/>
        <w:tblInd w:w="0" w:type="dxa"/>
        <w:tblLayout w:type="fixed"/>
        <w:tblCellMar>
          <w:top w:w="70" w:type="dxa"/>
          <w:start w:w="100" w:type="dxa"/>
          <w:bottom w:w="70" w:type="dxa"/>
          <w:end w:w="100" w:type="dxa"/>
        </w:tblCellMar>
      </w:tblPr>
      <w:tblGrid>
        <w:gridCol w:w="1400"/>
        <w:gridCol w:w="2600"/>
        <w:gridCol w:w="5360"/>
      </w:tblGrid>
      <w:tr>
        <w:trPr/>
        <w:tc>
          <w:tcPr>
            <w:tcW w:w="1400"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Nivel</w:t>
            </w:r>
          </w:p>
        </w:tc>
        <w:tc>
          <w:tcPr>
            <w:tcW w:w="2600"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Componentă principală</w:t>
            </w:r>
          </w:p>
        </w:tc>
        <w:tc>
          <w:tcPr>
            <w:tcW w:w="5360"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Funcție și responsabilitate</w:t>
            </w:r>
          </w:p>
        </w:tc>
      </w:tr>
      <w:tr>
        <w:trPr/>
        <w:tc>
          <w:tcPr>
            <w:tcW w:w="14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Nivel 1 – Date</w:t>
            </w:r>
          </w:p>
        </w:tc>
        <w:tc>
          <w:tcPr>
            <w:tcW w:w="26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Tabel DATE_FINANCIARE</w:t>
            </w:r>
          </w:p>
        </w:tc>
        <w:tc>
          <w:tcPr>
            <w:tcW w:w="536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Stochează datele brute extrase din F10 și F20 pentru fiecare exercițiu financiar; singura componentă care conține valori introduse manual</w:t>
            </w:r>
          </w:p>
        </w:tc>
      </w:tr>
      <w:tr>
        <w:trPr/>
        <w:tc>
          <w:tcPr>
            <w:tcW w:w="14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Nivel 2 – Logică</w:t>
            </w:r>
          </w:p>
        </w:tc>
        <w:tc>
          <w:tcPr>
            <w:tcW w:w="26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Interogări (Queries) Access</w:t>
            </w:r>
          </w:p>
        </w:tc>
        <w:tc>
          <w:tcPr>
            <w:tcW w:w="536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Calculează automat indicatorii financiari derivați prin formule SQL și atribuie calificative de performanță prin funcții IIf imbricate</w:t>
            </w:r>
          </w:p>
        </w:tc>
      </w:tr>
      <w:tr>
        <w:trPr/>
        <w:tc>
          <w:tcPr>
            <w:tcW w:w="14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Nivel 3 – Prezentare</w:t>
            </w:r>
          </w:p>
        </w:tc>
        <w:tc>
          <w:tcPr>
            <w:tcW w:w="26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Rapoarte (Reports) + Switchboard</w:t>
            </w:r>
          </w:p>
        </w:tc>
        <w:tc>
          <w:tcPr>
            <w:tcW w:w="536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Vizualizează rezultatele cu formatare condiționată tip semafor; permite navigarea rapidă între rapoarte fără cunoașterea structurii tehnice</w:t>
            </w:r>
          </w:p>
        </w:tc>
      </w:tr>
    </w:tbl>
    <w:p>
      <w:pPr>
        <w:pStyle w:val="Normal"/>
        <w:spacing w:before="80" w:after="200"/>
        <w:jc w:val="start"/>
        <w:rPr/>
      </w:pPr>
      <w:r>
        <w:rPr>
          <w:rFonts w:eastAsia="Times New Roman" w:cs="Times New Roman"/>
          <w:sz w:val="18"/>
          <w:szCs w:val="18"/>
        </w:rPr>
        <w:t>Tabelul 4.1. Arhitectura pe trei niveluri a aplicației informatice. Sursa: Proiectare proprie.</w:t>
      </w:r>
    </w:p>
    <w:p>
      <w:pPr>
        <w:pStyle w:val="Normal"/>
        <w:spacing w:before="60" w:after="60"/>
        <w:rPr/>
      </w:pPr>
      <w:r>
        <w:rPr/>
      </w:r>
    </w:p>
    <w:p>
      <w:pPr>
        <w:pStyle w:val="Normal"/>
        <w:spacing w:lineRule="auto" w:line="300" w:before="100" w:after="100"/>
        <w:ind w:firstLine="720"/>
        <w:rPr/>
      </w:pPr>
      <w:r>
        <w:rPr>
          <w:rFonts w:eastAsia="Times New Roman" w:cs="Times New Roman"/>
          <w:b w:val="false"/>
          <w:bCs w:val="false"/>
          <w:sz w:val="24"/>
          <w:szCs w:val="24"/>
        </w:rPr>
        <w:t>Această arhitectură garantează că modificarea datelor de intrare (nivel 1) se propagă automat la nivelul calculelor (nivel 2) și al prezentării (nivel 3), fără nicio intervenție suplimentară din partea utilizatorului. Adăugarea unui nou exercițiu financiar (de exemplu, exercițiul 2026) necesită exclusiv completarea unui rând nou în tabelul DATE_FINANCIARE, toate interogarile și rapoartele actualizându-se automat la rulare.</w:t>
      </w:r>
    </w:p>
    <w:p>
      <w:pPr>
        <w:pStyle w:val="Normal"/>
        <w:spacing w:before="60" w:after="60"/>
        <w:rPr/>
      </w:pPr>
      <w:r>
        <w:rPr/>
      </w:r>
    </w:p>
    <w:p>
      <w:pPr>
        <w:pStyle w:val="Heading2"/>
        <w:spacing w:before="280" w:after="160"/>
        <w:jc w:val="start"/>
        <w:rPr/>
      </w:pPr>
      <w:r>
        <w:rPr>
          <w:rFonts w:eastAsia="Times New Roman" w:cs="Times New Roman" w:ascii="Times New Roman" w:hAnsi="Times New Roman"/>
          <w:b/>
          <w:bCs/>
          <w:sz w:val="26"/>
          <w:szCs w:val="26"/>
        </w:rPr>
        <w:t>4.3. Proiectarea tabelului central – DATE_FINANCIARE</w:t>
      </w:r>
    </w:p>
    <w:p>
      <w:pPr>
        <w:pStyle w:val="Normal"/>
        <w:spacing w:lineRule="auto" w:line="300" w:before="100" w:after="100"/>
        <w:ind w:firstLine="720"/>
        <w:rPr/>
      </w:pPr>
      <w:r>
        <w:rPr>
          <w:rFonts w:eastAsia="Times New Roman" w:cs="Times New Roman"/>
          <w:b w:val="false"/>
          <w:bCs w:val="false"/>
          <w:sz w:val="24"/>
          <w:szCs w:val="24"/>
        </w:rPr>
        <w:t>Tabelul DATE_FINANCIARE constituie fundamentul tehnic al întregii aplicații. A fost ales designul de tip flat table (tabel plat, nennormalizat) în locul unei structuri relaționale cu tabele multiple, decizie justificată de natura datelor: fiecare indicator se calculează exclusiv pe baza datelor unui singur exercițiu financiar, fără relații de tip unu-la-mulți între entități distincte. Absența joncțiunilor (JOIN) simplifică formulele SQL și elimină riscurile de erori de legătură între tabele.</w:t>
      </w:r>
    </w:p>
    <w:p>
      <w:pPr>
        <w:pStyle w:val="Normal"/>
        <w:spacing w:before="60" w:after="60"/>
        <w:rPr/>
      </w:pPr>
      <w:r>
        <w:rPr/>
      </w:r>
    </w:p>
    <w:tbl>
      <w:tblPr>
        <w:tblW w:w="9360" w:type="dxa"/>
        <w:jc w:val="start"/>
        <w:tblInd w:w="0" w:type="dxa"/>
        <w:tblLayout w:type="fixed"/>
        <w:tblCellMar>
          <w:top w:w="70" w:type="dxa"/>
          <w:start w:w="100" w:type="dxa"/>
          <w:bottom w:w="70" w:type="dxa"/>
          <w:end w:w="100" w:type="dxa"/>
        </w:tblCellMar>
      </w:tblPr>
      <w:tblGrid>
        <w:gridCol w:w="2199"/>
        <w:gridCol w:w="1900"/>
        <w:gridCol w:w="3000"/>
        <w:gridCol w:w="2261"/>
      </w:tblGrid>
      <w:tr>
        <w:trPr/>
        <w:tc>
          <w:tcPr>
            <w:tcW w:w="2199"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Câmp (Field Name)</w:t>
            </w:r>
          </w:p>
        </w:tc>
        <w:tc>
          <w:tcPr>
            <w:tcW w:w="1900"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Tip de Date</w:t>
            </w:r>
          </w:p>
        </w:tc>
        <w:tc>
          <w:tcPr>
            <w:tcW w:w="3000"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Rol analitic</w:t>
            </w:r>
          </w:p>
        </w:tc>
        <w:tc>
          <w:tcPr>
            <w:tcW w:w="2261"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Cheie</w:t>
            </w:r>
          </w:p>
        </w:tc>
      </w:tr>
      <w:tr>
        <w:trPr/>
        <w:tc>
          <w:tcPr>
            <w:tcW w:w="21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AnFinanciar</w:t>
            </w:r>
          </w:p>
        </w:tc>
        <w:tc>
          <w:tcPr>
            <w:tcW w:w="19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AutoNumber / Integer</w:t>
            </w:r>
          </w:p>
        </w:tc>
        <w:tc>
          <w:tcPr>
            <w:tcW w:w="30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Identificator unic al exercițiului financiar (2024, 2025...)</w:t>
            </w:r>
          </w:p>
        </w:tc>
        <w:tc>
          <w:tcPr>
            <w:tcW w:w="226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PK ✓</w:t>
            </w:r>
          </w:p>
        </w:tc>
      </w:tr>
      <w:tr>
        <w:trPr/>
        <w:tc>
          <w:tcPr>
            <w:tcW w:w="21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CifraAfaceriNeta</w:t>
            </w:r>
          </w:p>
        </w:tc>
        <w:tc>
          <w:tcPr>
            <w:tcW w:w="19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Number (Double)</w:t>
            </w:r>
          </w:p>
        </w:tc>
        <w:tc>
          <w:tcPr>
            <w:tcW w:w="30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Venituri din activitatea curentă – rd. 01, F20</w:t>
            </w:r>
          </w:p>
        </w:tc>
        <w:tc>
          <w:tcPr>
            <w:tcW w:w="226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
          </w:p>
        </w:tc>
      </w:tr>
      <w:tr>
        <w:trPr/>
        <w:tc>
          <w:tcPr>
            <w:tcW w:w="21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AlteVenitExploatare</w:t>
            </w:r>
          </w:p>
        </w:tc>
        <w:tc>
          <w:tcPr>
            <w:tcW w:w="19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Number (Double)</w:t>
            </w:r>
          </w:p>
        </w:tc>
        <w:tc>
          <w:tcPr>
            <w:tcW w:w="30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Alte venituri operaționale – rd. 02, F20</w:t>
            </w:r>
          </w:p>
        </w:tc>
        <w:tc>
          <w:tcPr>
            <w:tcW w:w="226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
          </w:p>
        </w:tc>
      </w:tr>
      <w:tr>
        <w:trPr/>
        <w:tc>
          <w:tcPr>
            <w:tcW w:w="21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CostMateriePrima</w:t>
            </w:r>
          </w:p>
        </w:tc>
        <w:tc>
          <w:tcPr>
            <w:tcW w:w="19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Number (Double)</w:t>
            </w:r>
          </w:p>
        </w:tc>
        <w:tc>
          <w:tcPr>
            <w:tcW w:w="30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Costul consumabilelor și materiilor – rd. 03, F20</w:t>
            </w:r>
          </w:p>
        </w:tc>
        <w:tc>
          <w:tcPr>
            <w:tcW w:w="226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
          </w:p>
        </w:tc>
      </w:tr>
      <w:tr>
        <w:trPr/>
        <w:tc>
          <w:tcPr>
            <w:tcW w:w="21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CheltuieliPersonal</w:t>
            </w:r>
          </w:p>
        </w:tc>
        <w:tc>
          <w:tcPr>
            <w:tcW w:w="19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Number (Double)</w:t>
            </w:r>
          </w:p>
        </w:tc>
        <w:tc>
          <w:tcPr>
            <w:tcW w:w="30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Salarii, contribuții sociale – rd. 04, F20</w:t>
            </w:r>
          </w:p>
        </w:tc>
        <w:tc>
          <w:tcPr>
            <w:tcW w:w="226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
          </w:p>
        </w:tc>
      </w:tr>
      <w:tr>
        <w:trPr/>
        <w:tc>
          <w:tcPr>
            <w:tcW w:w="21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AjustarileValoare</w:t>
            </w:r>
          </w:p>
        </w:tc>
        <w:tc>
          <w:tcPr>
            <w:tcW w:w="19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Number (Double)</w:t>
            </w:r>
          </w:p>
        </w:tc>
        <w:tc>
          <w:tcPr>
            <w:tcW w:w="30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Amortizări și provizioane nete – rd. 05, F20</w:t>
            </w:r>
          </w:p>
        </w:tc>
        <w:tc>
          <w:tcPr>
            <w:tcW w:w="226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
          </w:p>
        </w:tc>
      </w:tr>
      <w:tr>
        <w:trPr/>
        <w:tc>
          <w:tcPr>
            <w:tcW w:w="21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AlteCheltuiExplo</w:t>
            </w:r>
          </w:p>
        </w:tc>
        <w:tc>
          <w:tcPr>
            <w:tcW w:w="19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Number (Double)</w:t>
            </w:r>
          </w:p>
        </w:tc>
        <w:tc>
          <w:tcPr>
            <w:tcW w:w="30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Alte cheltuieli de exploatare – rd. 06, F20</w:t>
            </w:r>
          </w:p>
        </w:tc>
        <w:tc>
          <w:tcPr>
            <w:tcW w:w="226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
          </w:p>
        </w:tc>
      </w:tr>
      <w:tr>
        <w:trPr/>
        <w:tc>
          <w:tcPr>
            <w:tcW w:w="21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ImpoziteTaxe</w:t>
            </w:r>
          </w:p>
        </w:tc>
        <w:tc>
          <w:tcPr>
            <w:tcW w:w="19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Number (Double)</w:t>
            </w:r>
          </w:p>
        </w:tc>
        <w:tc>
          <w:tcPr>
            <w:tcW w:w="30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Impozite și taxe curente – rd. 07, F20</w:t>
            </w:r>
          </w:p>
        </w:tc>
        <w:tc>
          <w:tcPr>
            <w:tcW w:w="226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
          </w:p>
        </w:tc>
      </w:tr>
      <w:tr>
        <w:trPr/>
        <w:tc>
          <w:tcPr>
            <w:tcW w:w="21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RezultatNet</w:t>
            </w:r>
          </w:p>
        </w:tc>
        <w:tc>
          <w:tcPr>
            <w:tcW w:w="19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Number (Double)</w:t>
            </w:r>
          </w:p>
        </w:tc>
        <w:tc>
          <w:tcPr>
            <w:tcW w:w="30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Profit net (pozitiv) / Pierdere (negativ) – rd. 08/09, F20</w:t>
            </w:r>
          </w:p>
        </w:tc>
        <w:tc>
          <w:tcPr>
            <w:tcW w:w="226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
          </w:p>
        </w:tc>
      </w:tr>
      <w:tr>
        <w:trPr/>
        <w:tc>
          <w:tcPr>
            <w:tcW w:w="21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ActiveImobilizate</w:t>
            </w:r>
          </w:p>
        </w:tc>
        <w:tc>
          <w:tcPr>
            <w:tcW w:w="19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Number (Double)</w:t>
            </w:r>
          </w:p>
        </w:tc>
        <w:tc>
          <w:tcPr>
            <w:tcW w:w="30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Imobilizări nete totale – rd. 04, F10</w:t>
            </w:r>
          </w:p>
        </w:tc>
        <w:tc>
          <w:tcPr>
            <w:tcW w:w="226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
          </w:p>
        </w:tc>
      </w:tr>
      <w:tr>
        <w:trPr/>
        <w:tc>
          <w:tcPr>
            <w:tcW w:w="21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Stocuri</w:t>
            </w:r>
          </w:p>
        </w:tc>
        <w:tc>
          <w:tcPr>
            <w:tcW w:w="19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Number (Double)</w:t>
            </w:r>
          </w:p>
        </w:tc>
        <w:tc>
          <w:tcPr>
            <w:tcW w:w="30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Stocuri totale – rd. 05, F10</w:t>
            </w:r>
          </w:p>
        </w:tc>
        <w:tc>
          <w:tcPr>
            <w:tcW w:w="226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
          </w:p>
        </w:tc>
      </w:tr>
      <w:tr>
        <w:trPr/>
        <w:tc>
          <w:tcPr>
            <w:tcW w:w="21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Creante</w:t>
            </w:r>
          </w:p>
        </w:tc>
        <w:tc>
          <w:tcPr>
            <w:tcW w:w="19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Number (Double)</w:t>
            </w:r>
          </w:p>
        </w:tc>
        <w:tc>
          <w:tcPr>
            <w:tcW w:w="30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Creanțe comerciale și alte creanțe – rd. 06, F10</w:t>
            </w:r>
          </w:p>
        </w:tc>
        <w:tc>
          <w:tcPr>
            <w:tcW w:w="226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
          </w:p>
        </w:tc>
      </w:tr>
      <w:tr>
        <w:trPr/>
        <w:tc>
          <w:tcPr>
            <w:tcW w:w="21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CasaSiConturi</w:t>
            </w:r>
          </w:p>
        </w:tc>
        <w:tc>
          <w:tcPr>
            <w:tcW w:w="19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Number (Double)</w:t>
            </w:r>
          </w:p>
        </w:tc>
        <w:tc>
          <w:tcPr>
            <w:tcW w:w="30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Disponibilități bănești – rd. 08, F10</w:t>
            </w:r>
          </w:p>
        </w:tc>
        <w:tc>
          <w:tcPr>
            <w:tcW w:w="226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
          </w:p>
        </w:tc>
      </w:tr>
      <w:tr>
        <w:trPr/>
        <w:tc>
          <w:tcPr>
            <w:tcW w:w="21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ActiveCirculante</w:t>
            </w:r>
          </w:p>
        </w:tc>
        <w:tc>
          <w:tcPr>
            <w:tcW w:w="19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Number (Double)</w:t>
            </w:r>
          </w:p>
        </w:tc>
        <w:tc>
          <w:tcPr>
            <w:tcW w:w="30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Total active circulante – rd. 09, F10</w:t>
            </w:r>
          </w:p>
        </w:tc>
        <w:tc>
          <w:tcPr>
            <w:tcW w:w="226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
          </w:p>
        </w:tc>
      </w:tr>
      <w:tr>
        <w:trPr/>
        <w:tc>
          <w:tcPr>
            <w:tcW w:w="21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DatoriiCurente</w:t>
            </w:r>
          </w:p>
        </w:tc>
        <w:tc>
          <w:tcPr>
            <w:tcW w:w="19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Number (Double)</w:t>
            </w:r>
          </w:p>
        </w:tc>
        <w:tc>
          <w:tcPr>
            <w:tcW w:w="30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Datorii scadente sub 1 an – rd. 13, F10</w:t>
            </w:r>
          </w:p>
        </w:tc>
        <w:tc>
          <w:tcPr>
            <w:tcW w:w="226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
          </w:p>
        </w:tc>
      </w:tr>
      <w:tr>
        <w:trPr/>
        <w:tc>
          <w:tcPr>
            <w:tcW w:w="21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DatoriiTermenLung</w:t>
            </w:r>
          </w:p>
        </w:tc>
        <w:tc>
          <w:tcPr>
            <w:tcW w:w="19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Number (Double)</w:t>
            </w:r>
          </w:p>
        </w:tc>
        <w:tc>
          <w:tcPr>
            <w:tcW w:w="30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Datorii scadente peste 1 an – rd. 16, F10</w:t>
            </w:r>
          </w:p>
        </w:tc>
        <w:tc>
          <w:tcPr>
            <w:tcW w:w="226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
          </w:p>
        </w:tc>
      </w:tr>
      <w:tr>
        <w:trPr/>
        <w:tc>
          <w:tcPr>
            <w:tcW w:w="21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CapitaluriProprii</w:t>
            </w:r>
          </w:p>
        </w:tc>
        <w:tc>
          <w:tcPr>
            <w:tcW w:w="19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Number (Double)</w:t>
            </w:r>
          </w:p>
        </w:tc>
        <w:tc>
          <w:tcPr>
            <w:tcW w:w="30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Total capitaluri proprii – rd. 49, F10</w:t>
            </w:r>
          </w:p>
        </w:tc>
        <w:tc>
          <w:tcPr>
            <w:tcW w:w="226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
          </w:p>
        </w:tc>
      </w:tr>
    </w:tbl>
    <w:p>
      <w:pPr>
        <w:pStyle w:val="Normal"/>
        <w:spacing w:before="80" w:after="200"/>
        <w:jc w:val="start"/>
        <w:rPr/>
      </w:pPr>
      <w:r>
        <w:rPr>
          <w:rFonts w:eastAsia="Times New Roman" w:cs="Times New Roman"/>
          <w:sz w:val="18"/>
          <w:szCs w:val="18"/>
        </w:rPr>
        <w:t>Tabelul 4.2. Structura tabelului DATE_FINANCIARE – Design View (Microsoft Access). Câmpul AnFinanciar este desemnat cheie primară. Toate câmpurile numerice folosesc tipul Double (precizie 15 cifre). Sursa: Proiectare proprie.</w:t>
      </w:r>
    </w:p>
    <w:p>
      <w:pPr>
        <w:pStyle w:val="Normal"/>
        <w:spacing w:before="60" w:after="60"/>
        <w:rPr/>
      </w:pPr>
      <w:r>
        <w:rPr/>
      </w:r>
    </w:p>
    <w:p>
      <w:pPr>
        <w:pStyle w:val="Normal"/>
        <w:spacing w:lineRule="auto" w:line="300" w:before="100" w:after="100"/>
        <w:ind w:firstLine="720"/>
        <w:rPr/>
      </w:pPr>
      <w:r>
        <w:rPr>
          <w:rFonts w:eastAsia="Times New Roman" w:cs="Times New Roman"/>
          <w:b w:val="false"/>
          <w:bCs w:val="false"/>
          <w:sz w:val="24"/>
          <w:szCs w:val="24"/>
        </w:rPr>
        <w:t>Câmpul cheie primară AnFinanciar nu admite valori duplicate sau NULL, asigurând unicitatea și integritatea fiecărei înregistrări. Tipul Double pentru câmpurile numerice este esențial pentru valori mari (de ordinul milioanelor de lei), eliminând riscul erorilor de rotunjire care ar apărea cu tipul Integer sau Single. Câmpul RezultatNet acceptă valori negative (pierderi), ceea ce permite calculul corect al indicatorilor de rentabilitate și în exercițiile deficitare.</w:t>
      </w:r>
    </w:p>
    <w:p>
      <w:pPr>
        <w:pStyle w:val="Normal"/>
        <w:spacing w:before="60" w:after="60"/>
        <w:rPr/>
      </w:pPr>
      <w:r>
        <w:rPr/>
      </w:r>
    </w:p>
    <w:p>
      <w:pPr>
        <w:pStyle w:val="Heading2"/>
        <w:spacing w:before="280" w:after="160"/>
        <w:jc w:val="start"/>
        <w:rPr/>
      </w:pPr>
      <w:r>
        <w:rPr>
          <w:rFonts w:eastAsia="Times New Roman" w:cs="Times New Roman" w:ascii="Times New Roman" w:hAnsi="Times New Roman"/>
          <w:b/>
          <w:bCs/>
          <w:sz w:val="26"/>
          <w:szCs w:val="26"/>
        </w:rPr>
        <w:t>4.4. Datele financiare introduse – Datasheet View</w:t>
      </w:r>
    </w:p>
    <w:p>
      <w:pPr>
        <w:pStyle w:val="Normal"/>
        <w:spacing w:lineRule="auto" w:line="300" w:before="100" w:after="100"/>
        <w:ind w:firstLine="720"/>
        <w:rPr/>
      </w:pPr>
      <w:r>
        <w:rPr>
          <w:rFonts w:eastAsia="Times New Roman" w:cs="Times New Roman"/>
          <w:b w:val="false"/>
          <w:bCs w:val="false"/>
          <w:sz w:val="24"/>
          <w:szCs w:val="24"/>
        </w:rPr>
        <w:t>După finalizarea structurii în modul Design View, datele reale au fost introduse în tabelul DATE_FINANCIARE prin modul Datasheet View, pe baza documentelor oficiale F10 și F20 aferente exercițiilor 2024 și 2025. Această etapă de introducere manuală este singura care implică intervenția utilizatorului; toate procesele ulterioare sunt automatizate.</w:t>
      </w:r>
    </w:p>
    <w:p>
      <w:pPr>
        <w:pStyle w:val="Normal"/>
        <w:spacing w:before="60" w:after="60"/>
        <w:rPr/>
      </w:pPr>
      <w:r>
        <w:rPr/>
      </w:r>
    </w:p>
    <w:tbl>
      <w:tblPr>
        <w:tblW w:w="9360" w:type="dxa"/>
        <w:jc w:val="start"/>
        <w:tblInd w:w="0" w:type="dxa"/>
        <w:tblLayout w:type="fixed"/>
        <w:tblCellMar>
          <w:top w:w="70" w:type="dxa"/>
          <w:start w:w="100" w:type="dxa"/>
          <w:bottom w:w="70" w:type="dxa"/>
          <w:end w:w="100" w:type="dxa"/>
        </w:tblCellMar>
      </w:tblPr>
      <w:tblGrid>
        <w:gridCol w:w="2600"/>
        <w:gridCol w:w="1599"/>
        <w:gridCol w:w="1601"/>
        <w:gridCol w:w="1600"/>
        <w:gridCol w:w="1960"/>
      </w:tblGrid>
      <w:tr>
        <w:trPr/>
        <w:tc>
          <w:tcPr>
            <w:tcW w:w="2600"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Câmp</w:t>
            </w:r>
          </w:p>
        </w:tc>
        <w:tc>
          <w:tcPr>
            <w:tcW w:w="1599"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2024 (lei)</w:t>
            </w:r>
          </w:p>
        </w:tc>
        <w:tc>
          <w:tcPr>
            <w:tcW w:w="1601"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2025 (lei)</w:t>
            </w:r>
          </w:p>
        </w:tc>
        <w:tc>
          <w:tcPr>
            <w:tcW w:w="1600"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Variație abs.</w:t>
            </w:r>
          </w:p>
        </w:tc>
        <w:tc>
          <w:tcPr>
            <w:tcW w:w="1960"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Variație %</w:t>
            </w:r>
          </w:p>
        </w:tc>
      </w:tr>
      <w:tr>
        <w:trPr/>
        <w:tc>
          <w:tcPr>
            <w:tcW w:w="26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CifraAfaceriNeta</w:t>
            </w:r>
          </w:p>
        </w:tc>
        <w:tc>
          <w:tcPr>
            <w:tcW w:w="15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2.158.144</w:t>
            </w:r>
          </w:p>
        </w:tc>
        <w:tc>
          <w:tcPr>
            <w:tcW w:w="160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2.543.426</w:t>
            </w:r>
          </w:p>
        </w:tc>
        <w:tc>
          <w:tcPr>
            <w:tcW w:w="16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+385.282</w:t>
            </w:r>
          </w:p>
        </w:tc>
        <w:tc>
          <w:tcPr>
            <w:tcW w:w="196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+17,85%</w:t>
            </w:r>
          </w:p>
        </w:tc>
      </w:tr>
      <w:tr>
        <w:trPr/>
        <w:tc>
          <w:tcPr>
            <w:tcW w:w="26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AlteVenitExploatare</w:t>
            </w:r>
          </w:p>
        </w:tc>
        <w:tc>
          <w:tcPr>
            <w:tcW w:w="15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149.188</w:t>
            </w:r>
          </w:p>
        </w:tc>
        <w:tc>
          <w:tcPr>
            <w:tcW w:w="160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115.726</w:t>
            </w:r>
          </w:p>
        </w:tc>
        <w:tc>
          <w:tcPr>
            <w:tcW w:w="16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r>
              <w:rPr>
                <w:rFonts w:eastAsia="Times New Roman" w:cs="Times New Roman"/>
                <w:b w:val="false"/>
                <w:bCs w:val="false"/>
                <w:sz w:val="20"/>
                <w:szCs w:val="20"/>
              </w:rPr>
              <w:t>33.462</w:t>
            </w:r>
          </w:p>
        </w:tc>
        <w:tc>
          <w:tcPr>
            <w:tcW w:w="196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r>
              <w:rPr>
                <w:rFonts w:eastAsia="Times New Roman" w:cs="Times New Roman"/>
                <w:b w:val="false"/>
                <w:bCs w:val="false"/>
                <w:sz w:val="20"/>
                <w:szCs w:val="20"/>
              </w:rPr>
              <w:t>22,43%</w:t>
            </w:r>
          </w:p>
        </w:tc>
      </w:tr>
      <w:tr>
        <w:trPr/>
        <w:tc>
          <w:tcPr>
            <w:tcW w:w="26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CostMateriePrima</w:t>
            </w:r>
          </w:p>
        </w:tc>
        <w:tc>
          <w:tcPr>
            <w:tcW w:w="15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200.684</w:t>
            </w:r>
          </w:p>
        </w:tc>
        <w:tc>
          <w:tcPr>
            <w:tcW w:w="160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106.834</w:t>
            </w:r>
          </w:p>
        </w:tc>
        <w:tc>
          <w:tcPr>
            <w:tcW w:w="16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r>
              <w:rPr>
                <w:rFonts w:eastAsia="Times New Roman" w:cs="Times New Roman"/>
                <w:b w:val="false"/>
                <w:bCs w:val="false"/>
                <w:sz w:val="20"/>
                <w:szCs w:val="20"/>
              </w:rPr>
              <w:t>93.850</w:t>
            </w:r>
          </w:p>
        </w:tc>
        <w:tc>
          <w:tcPr>
            <w:tcW w:w="196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r>
              <w:rPr>
                <w:rFonts w:eastAsia="Times New Roman" w:cs="Times New Roman"/>
                <w:b w:val="false"/>
                <w:bCs w:val="false"/>
                <w:sz w:val="20"/>
                <w:szCs w:val="20"/>
              </w:rPr>
              <w:t>46,77%</w:t>
            </w:r>
          </w:p>
        </w:tc>
      </w:tr>
      <w:tr>
        <w:trPr/>
        <w:tc>
          <w:tcPr>
            <w:tcW w:w="26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CheltuieliPersonal</w:t>
            </w:r>
          </w:p>
        </w:tc>
        <w:tc>
          <w:tcPr>
            <w:tcW w:w="15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646.791</w:t>
            </w:r>
          </w:p>
        </w:tc>
        <w:tc>
          <w:tcPr>
            <w:tcW w:w="160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783.215</w:t>
            </w:r>
          </w:p>
        </w:tc>
        <w:tc>
          <w:tcPr>
            <w:tcW w:w="16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+136.424</w:t>
            </w:r>
          </w:p>
        </w:tc>
        <w:tc>
          <w:tcPr>
            <w:tcW w:w="196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+21,10%</w:t>
            </w:r>
          </w:p>
        </w:tc>
      </w:tr>
      <w:tr>
        <w:trPr/>
        <w:tc>
          <w:tcPr>
            <w:tcW w:w="26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AjustarileValoare</w:t>
            </w:r>
          </w:p>
        </w:tc>
        <w:tc>
          <w:tcPr>
            <w:tcW w:w="15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190.722</w:t>
            </w:r>
          </w:p>
        </w:tc>
        <w:tc>
          <w:tcPr>
            <w:tcW w:w="160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188.793</w:t>
            </w:r>
          </w:p>
        </w:tc>
        <w:tc>
          <w:tcPr>
            <w:tcW w:w="16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r>
              <w:rPr>
                <w:rFonts w:eastAsia="Times New Roman" w:cs="Times New Roman"/>
                <w:b w:val="false"/>
                <w:bCs w:val="false"/>
                <w:sz w:val="20"/>
                <w:szCs w:val="20"/>
              </w:rPr>
              <w:t>1.929</w:t>
            </w:r>
          </w:p>
        </w:tc>
        <w:tc>
          <w:tcPr>
            <w:tcW w:w="196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r>
              <w:rPr>
                <w:rFonts w:eastAsia="Times New Roman" w:cs="Times New Roman"/>
                <w:b w:val="false"/>
                <w:bCs w:val="false"/>
                <w:sz w:val="20"/>
                <w:szCs w:val="20"/>
              </w:rPr>
              <w:t>1,01%</w:t>
            </w:r>
          </w:p>
        </w:tc>
      </w:tr>
      <w:tr>
        <w:trPr/>
        <w:tc>
          <w:tcPr>
            <w:tcW w:w="26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AlteCheltuiExplo</w:t>
            </w:r>
          </w:p>
        </w:tc>
        <w:tc>
          <w:tcPr>
            <w:tcW w:w="15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1.249.780</w:t>
            </w:r>
          </w:p>
        </w:tc>
        <w:tc>
          <w:tcPr>
            <w:tcW w:w="160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1.464.342</w:t>
            </w:r>
          </w:p>
        </w:tc>
        <w:tc>
          <w:tcPr>
            <w:tcW w:w="16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+214.562</w:t>
            </w:r>
          </w:p>
        </w:tc>
        <w:tc>
          <w:tcPr>
            <w:tcW w:w="196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+17,17%</w:t>
            </w:r>
          </w:p>
        </w:tc>
      </w:tr>
      <w:tr>
        <w:trPr/>
        <w:tc>
          <w:tcPr>
            <w:tcW w:w="26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ImpoziteTaxe</w:t>
            </w:r>
          </w:p>
        </w:tc>
        <w:tc>
          <w:tcPr>
            <w:tcW w:w="15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62.066</w:t>
            </w:r>
          </w:p>
        </w:tc>
        <w:tc>
          <w:tcPr>
            <w:tcW w:w="160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34.114</w:t>
            </w:r>
          </w:p>
        </w:tc>
        <w:tc>
          <w:tcPr>
            <w:tcW w:w="16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r>
              <w:rPr>
                <w:rFonts w:eastAsia="Times New Roman" w:cs="Times New Roman"/>
                <w:b w:val="false"/>
                <w:bCs w:val="false"/>
                <w:sz w:val="20"/>
                <w:szCs w:val="20"/>
              </w:rPr>
              <w:t>27.952</w:t>
            </w:r>
          </w:p>
        </w:tc>
        <w:tc>
          <w:tcPr>
            <w:tcW w:w="196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r>
              <w:rPr>
                <w:rFonts w:eastAsia="Times New Roman" w:cs="Times New Roman"/>
                <w:b w:val="false"/>
                <w:bCs w:val="false"/>
                <w:sz w:val="20"/>
                <w:szCs w:val="20"/>
              </w:rPr>
              <w:t>45,04%</w:t>
            </w:r>
          </w:p>
        </w:tc>
      </w:tr>
      <w:tr>
        <w:trPr/>
        <w:tc>
          <w:tcPr>
            <w:tcW w:w="26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RezultatNet (– = pierdere)</w:t>
            </w:r>
          </w:p>
        </w:tc>
        <w:tc>
          <w:tcPr>
            <w:tcW w:w="15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r>
              <w:rPr>
                <w:rFonts w:eastAsia="Times New Roman" w:cs="Times New Roman"/>
                <w:b w:val="false"/>
                <w:bCs w:val="false"/>
                <w:sz w:val="20"/>
                <w:szCs w:val="20"/>
              </w:rPr>
              <w:t>42.711</w:t>
            </w:r>
          </w:p>
        </w:tc>
        <w:tc>
          <w:tcPr>
            <w:tcW w:w="160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+81.854</w:t>
            </w:r>
          </w:p>
        </w:tc>
        <w:tc>
          <w:tcPr>
            <w:tcW w:w="16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+124.565</w:t>
            </w:r>
          </w:p>
        </w:tc>
        <w:tc>
          <w:tcPr>
            <w:tcW w:w="196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p>
        </w:tc>
      </w:tr>
      <w:tr>
        <w:trPr/>
        <w:tc>
          <w:tcPr>
            <w:tcW w:w="26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ActiveImobilizate</w:t>
            </w:r>
          </w:p>
        </w:tc>
        <w:tc>
          <w:tcPr>
            <w:tcW w:w="15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1.290.842</w:t>
            </w:r>
          </w:p>
        </w:tc>
        <w:tc>
          <w:tcPr>
            <w:tcW w:w="160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1.331.209</w:t>
            </w:r>
          </w:p>
        </w:tc>
        <w:tc>
          <w:tcPr>
            <w:tcW w:w="16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+40.367</w:t>
            </w:r>
          </w:p>
        </w:tc>
        <w:tc>
          <w:tcPr>
            <w:tcW w:w="196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+3,13%</w:t>
            </w:r>
          </w:p>
        </w:tc>
      </w:tr>
      <w:tr>
        <w:trPr/>
        <w:tc>
          <w:tcPr>
            <w:tcW w:w="26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Stocuri</w:t>
            </w:r>
          </w:p>
        </w:tc>
        <w:tc>
          <w:tcPr>
            <w:tcW w:w="15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36.630</w:t>
            </w:r>
          </w:p>
        </w:tc>
        <w:tc>
          <w:tcPr>
            <w:tcW w:w="160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67.592</w:t>
            </w:r>
          </w:p>
        </w:tc>
        <w:tc>
          <w:tcPr>
            <w:tcW w:w="16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+30.962</w:t>
            </w:r>
          </w:p>
        </w:tc>
        <w:tc>
          <w:tcPr>
            <w:tcW w:w="196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+84,53%</w:t>
            </w:r>
          </w:p>
        </w:tc>
      </w:tr>
      <w:tr>
        <w:trPr/>
        <w:tc>
          <w:tcPr>
            <w:tcW w:w="26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Creante</w:t>
            </w:r>
          </w:p>
        </w:tc>
        <w:tc>
          <w:tcPr>
            <w:tcW w:w="15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27.423</w:t>
            </w:r>
          </w:p>
        </w:tc>
        <w:tc>
          <w:tcPr>
            <w:tcW w:w="160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21.301</w:t>
            </w:r>
          </w:p>
        </w:tc>
        <w:tc>
          <w:tcPr>
            <w:tcW w:w="16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r>
              <w:rPr>
                <w:rFonts w:eastAsia="Times New Roman" w:cs="Times New Roman"/>
                <w:b w:val="false"/>
                <w:bCs w:val="false"/>
                <w:sz w:val="20"/>
                <w:szCs w:val="20"/>
              </w:rPr>
              <w:t>6.122</w:t>
            </w:r>
          </w:p>
        </w:tc>
        <w:tc>
          <w:tcPr>
            <w:tcW w:w="196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r>
              <w:rPr>
                <w:rFonts w:eastAsia="Times New Roman" w:cs="Times New Roman"/>
                <w:b w:val="false"/>
                <w:bCs w:val="false"/>
                <w:sz w:val="20"/>
                <w:szCs w:val="20"/>
              </w:rPr>
              <w:t>22,32%</w:t>
            </w:r>
          </w:p>
        </w:tc>
      </w:tr>
      <w:tr>
        <w:trPr/>
        <w:tc>
          <w:tcPr>
            <w:tcW w:w="26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CasaSiConturi</w:t>
            </w:r>
          </w:p>
        </w:tc>
        <w:tc>
          <w:tcPr>
            <w:tcW w:w="15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10.518</w:t>
            </w:r>
          </w:p>
        </w:tc>
        <w:tc>
          <w:tcPr>
            <w:tcW w:w="160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27.670</w:t>
            </w:r>
          </w:p>
        </w:tc>
        <w:tc>
          <w:tcPr>
            <w:tcW w:w="16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+17.152</w:t>
            </w:r>
          </w:p>
        </w:tc>
        <w:tc>
          <w:tcPr>
            <w:tcW w:w="196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+163,06%</w:t>
            </w:r>
          </w:p>
        </w:tc>
      </w:tr>
      <w:tr>
        <w:trPr/>
        <w:tc>
          <w:tcPr>
            <w:tcW w:w="26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ActiveCirculante</w:t>
            </w:r>
          </w:p>
        </w:tc>
        <w:tc>
          <w:tcPr>
            <w:tcW w:w="15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74.571</w:t>
            </w:r>
          </w:p>
        </w:tc>
        <w:tc>
          <w:tcPr>
            <w:tcW w:w="160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116.563</w:t>
            </w:r>
          </w:p>
        </w:tc>
        <w:tc>
          <w:tcPr>
            <w:tcW w:w="16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+41.992</w:t>
            </w:r>
          </w:p>
        </w:tc>
        <w:tc>
          <w:tcPr>
            <w:tcW w:w="196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+56,31%</w:t>
            </w:r>
          </w:p>
        </w:tc>
      </w:tr>
      <w:tr>
        <w:trPr/>
        <w:tc>
          <w:tcPr>
            <w:tcW w:w="26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DatoriiCurente</w:t>
            </w:r>
          </w:p>
        </w:tc>
        <w:tc>
          <w:tcPr>
            <w:tcW w:w="15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700.364</w:t>
            </w:r>
          </w:p>
        </w:tc>
        <w:tc>
          <w:tcPr>
            <w:tcW w:w="160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762.094</w:t>
            </w:r>
          </w:p>
        </w:tc>
        <w:tc>
          <w:tcPr>
            <w:tcW w:w="16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+61.730</w:t>
            </w:r>
          </w:p>
        </w:tc>
        <w:tc>
          <w:tcPr>
            <w:tcW w:w="196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+8,81%</w:t>
            </w:r>
          </w:p>
        </w:tc>
      </w:tr>
      <w:tr>
        <w:trPr/>
        <w:tc>
          <w:tcPr>
            <w:tcW w:w="26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DatoriiTermenLung</w:t>
            </w:r>
          </w:p>
        </w:tc>
        <w:tc>
          <w:tcPr>
            <w:tcW w:w="15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142.578</w:t>
            </w:r>
          </w:p>
        </w:tc>
        <w:tc>
          <w:tcPr>
            <w:tcW w:w="160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81.613</w:t>
            </w:r>
          </w:p>
        </w:tc>
        <w:tc>
          <w:tcPr>
            <w:tcW w:w="16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r>
              <w:rPr>
                <w:rFonts w:eastAsia="Times New Roman" w:cs="Times New Roman"/>
                <w:b w:val="false"/>
                <w:bCs w:val="false"/>
                <w:sz w:val="20"/>
                <w:szCs w:val="20"/>
              </w:rPr>
              <w:t>60.965</w:t>
            </w:r>
          </w:p>
        </w:tc>
        <w:tc>
          <w:tcPr>
            <w:tcW w:w="196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r>
              <w:rPr>
                <w:rFonts w:eastAsia="Times New Roman" w:cs="Times New Roman"/>
                <w:b w:val="false"/>
                <w:bCs w:val="false"/>
                <w:sz w:val="20"/>
                <w:szCs w:val="20"/>
              </w:rPr>
              <w:t>42,75%</w:t>
            </w:r>
          </w:p>
        </w:tc>
      </w:tr>
      <w:tr>
        <w:trPr/>
        <w:tc>
          <w:tcPr>
            <w:tcW w:w="26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CapitaluriProprii</w:t>
            </w:r>
          </w:p>
        </w:tc>
        <w:tc>
          <w:tcPr>
            <w:tcW w:w="15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522.471</w:t>
            </w:r>
          </w:p>
        </w:tc>
        <w:tc>
          <w:tcPr>
            <w:tcW w:w="160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604.324</w:t>
            </w:r>
          </w:p>
        </w:tc>
        <w:tc>
          <w:tcPr>
            <w:tcW w:w="16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+81.853</w:t>
            </w:r>
          </w:p>
        </w:tc>
        <w:tc>
          <w:tcPr>
            <w:tcW w:w="196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+15,67%</w:t>
            </w:r>
          </w:p>
        </w:tc>
      </w:tr>
    </w:tbl>
    <w:p>
      <w:pPr>
        <w:pStyle w:val="Normal"/>
        <w:spacing w:before="80" w:after="200"/>
        <w:jc w:val="start"/>
        <w:rPr/>
      </w:pPr>
      <w:r>
        <w:rPr>
          <w:rFonts w:eastAsia="Times New Roman" w:cs="Times New Roman"/>
          <w:sz w:val="18"/>
          <w:szCs w:val="18"/>
        </w:rPr>
        <w:t>Tabelul 4.3. Date financiare introduse în tabelul DATE_FINANCIARE – Datasheet View (valori în lei). Sursa: Bilanțul prescurtat F10 și Contul prescurtat de profit și pierdere F20, exercițiile 2024–2025.</w:t>
      </w:r>
    </w:p>
    <w:p>
      <w:pPr>
        <w:pStyle w:val="Normal"/>
        <w:spacing w:before="60" w:after="60"/>
        <w:rPr/>
      </w:pPr>
      <w:r>
        <w:rPr/>
      </w:r>
    </w:p>
    <w:p>
      <w:pPr>
        <w:pStyle w:val="Normal"/>
        <w:spacing w:lineRule="auto" w:line="300" w:before="100" w:after="100"/>
        <w:ind w:firstLine="720"/>
        <w:rPr/>
      </w:pPr>
      <w:r>
        <w:rPr>
          <w:rFonts w:eastAsia="Times New Roman" w:cs="Times New Roman"/>
          <w:b w:val="false"/>
          <w:bCs w:val="false"/>
          <w:sz w:val="24"/>
          <w:szCs w:val="24"/>
        </w:rPr>
        <w:t>Câteva evoluții din structura datelor merită subliniate înainte de a proceda la calculul indicatorilor. Disponibilitățile bănești au crescut spectaculos – de la 10.518 lei la 27.670 lei (+163%), semn al consolidării poziției de trezorerie. Stocurile au înregistrat o creștere de 84,53%, posibil ca efect al unor aprovizionări strategice anticipate. Datoriile pe termen lung s-au redus cu 42,75% – de la 142.578 lei la 81.613 lei –, indicând o politică deliberată de dezîndatorare. Capitalurile proprii s-au majorat cu 15,67% prin acumularea profitului net din 2025, confirmând funcționarea mecanismului de autofinanțare.</w:t>
      </w:r>
    </w:p>
    <w:p>
      <w:pPr>
        <w:pStyle w:val="Normal"/>
        <w:spacing w:before="60" w:after="60"/>
        <w:rPr/>
      </w:pPr>
      <w:r>
        <w:rPr/>
      </w:r>
    </w:p>
    <w:p>
      <w:pPr>
        <w:pStyle w:val="Heading2"/>
        <w:spacing w:before="280" w:after="160"/>
        <w:jc w:val="start"/>
        <w:rPr/>
      </w:pPr>
      <w:r>
        <w:rPr>
          <w:rFonts w:eastAsia="Times New Roman" w:cs="Times New Roman" w:ascii="Times New Roman" w:hAnsi="Times New Roman"/>
          <w:b/>
          <w:bCs/>
          <w:sz w:val="26"/>
          <w:szCs w:val="26"/>
        </w:rPr>
        <w:t>4.5. Interogările de calcul – logica SQL și funcțiile IIf</w:t>
      </w:r>
    </w:p>
    <w:p>
      <w:pPr>
        <w:pStyle w:val="Normal"/>
        <w:spacing w:lineRule="auto" w:line="300" w:before="100" w:after="100"/>
        <w:ind w:firstLine="720"/>
        <w:rPr/>
      </w:pPr>
      <w:r>
        <w:rPr>
          <w:rFonts w:eastAsia="Times New Roman" w:cs="Times New Roman"/>
          <w:b w:val="false"/>
          <w:bCs w:val="false"/>
          <w:sz w:val="24"/>
          <w:szCs w:val="24"/>
        </w:rPr>
        <w:t>Interogarile Access (Select Queries) constituie stratul de logică al aplicației, responsabil cu transformarea datelor brute din tabelul DATE_FINANCIARE în indicatori financiari calculați și în calificative de performanță. Fiecare interogare conține câmpuri calculate definite prin expresii SQL introduse în grila de proiectare (Query Design Grid).</w:t>
      </w:r>
    </w:p>
    <w:p>
      <w:pPr>
        <w:pStyle w:val="Normal"/>
        <w:spacing w:lineRule="auto" w:line="300" w:before="100" w:after="100"/>
        <w:ind w:firstLine="720"/>
        <w:rPr/>
      </w:pPr>
      <w:r>
        <w:rPr>
          <w:rFonts w:eastAsia="Times New Roman" w:cs="Times New Roman"/>
          <w:b w:val="false"/>
          <w:bCs w:val="false"/>
          <w:sz w:val="24"/>
          <w:szCs w:val="24"/>
        </w:rPr>
        <w:t>Elementul central al logicii de calcul îl reprezintă funcția IIf imbricată (Nested IIf – Immediate If), disponibilă nativ în Access SQL. Aceasta evaluează o condiție logică și returnează una din două valori, după schema generală: IIf(condiție; valoare_dacă_adevărat; valoare_dacă_fals). Prin imbricarea a două funcții IIf se obțin trei niveluri de clasificare – OPTIM, ACCEPTABIL și DEFICITAR – corespunzătoare unor praguri valorice prestabilite:</w:t>
      </w:r>
    </w:p>
    <w:p>
      <w:pPr>
        <w:pStyle w:val="Normal"/>
        <w:spacing w:before="60" w:after="60"/>
        <w:rPr/>
      </w:pPr>
      <w:r>
        <w:rPr/>
      </w:r>
    </w:p>
    <w:tbl>
      <w:tblPr>
        <w:tblW w:w="9360" w:type="dxa"/>
        <w:jc w:val="start"/>
        <w:tblInd w:w="0" w:type="dxa"/>
        <w:tblLayout w:type="fixed"/>
        <w:tblCellMar>
          <w:top w:w="70" w:type="dxa"/>
          <w:start w:w="100" w:type="dxa"/>
          <w:bottom w:w="70" w:type="dxa"/>
          <w:end w:w="100" w:type="dxa"/>
        </w:tblCellMar>
      </w:tblPr>
      <w:tblGrid>
        <w:gridCol w:w="4359"/>
        <w:gridCol w:w="5001"/>
      </w:tblGrid>
      <w:tr>
        <w:trPr/>
        <w:tc>
          <w:tcPr>
            <w:tcW w:w="4359"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Structura generală IIf imbricat</w:t>
            </w:r>
          </w:p>
        </w:tc>
        <w:tc>
          <w:tcPr>
            <w:tcW w:w="5001"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Exemplu concret – Solvabilitate generală</w:t>
            </w:r>
          </w:p>
        </w:tc>
      </w:tr>
      <w:tr>
        <w:trPr/>
        <w:tc>
          <w:tcPr>
            <w:tcW w:w="435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IIf([Indicator] &gt; Prag_OPTIM; "OPTIM"; IIf([Indicator] &gt; Prag_ACCEPTABIL; "ACCEPTABIL"; "DEFICITAR"))</w:t>
            </w:r>
          </w:p>
        </w:tc>
        <w:tc>
          <w:tcPr>
            <w:tcW w:w="500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IIf([SG] &gt; 200; "OPTIM"; IIf([SG] &gt; 100; "ACCEPTABIL"; "DEFICITAR"))</w:t>
            </w:r>
          </w:p>
        </w:tc>
      </w:tr>
    </w:tbl>
    <w:p>
      <w:pPr>
        <w:pStyle w:val="Normal"/>
        <w:spacing w:before="80" w:after="200"/>
        <w:jc w:val="start"/>
        <w:rPr/>
      </w:pPr>
      <w:r>
        <w:rPr>
          <w:rFonts w:eastAsia="Times New Roman" w:cs="Times New Roman"/>
          <w:sz w:val="18"/>
          <w:szCs w:val="18"/>
        </w:rPr>
        <w:t>Sintaxa funcției IIf imbricate utilizată pentru generarea automată a calificativelor de performanță.</w:t>
      </w:r>
    </w:p>
    <w:p>
      <w:pPr>
        <w:pStyle w:val="Normal"/>
        <w:spacing w:before="60" w:after="60"/>
        <w:rPr/>
      </w:pPr>
      <w:r>
        <w:rPr/>
      </w:r>
    </w:p>
    <w:p>
      <w:pPr>
        <w:pStyle w:val="Normal"/>
        <w:spacing w:lineRule="auto" w:line="300" w:before="100" w:after="100"/>
        <w:ind w:firstLine="720"/>
        <w:rPr/>
      </w:pPr>
      <w:r>
        <w:rPr>
          <w:rFonts w:eastAsia="Times New Roman" w:cs="Times New Roman"/>
          <w:b w:val="false"/>
          <w:bCs w:val="false"/>
          <w:sz w:val="24"/>
          <w:szCs w:val="24"/>
        </w:rPr>
        <w:t>Diagnosticele calitative sunt stocate în câmpuri separate (prefixate D_), distincte de valorile numerice ale indicatorilor. Această separare permite utilizarea independentă a valorilor numerice în grafice și a calificativelor textuale în câmpurile cu formatare condiționată din rapoarte.</w:t>
      </w:r>
    </w:p>
    <w:p>
      <w:pPr>
        <w:pStyle w:val="Normal"/>
        <w:spacing w:before="60" w:after="60"/>
        <w:rPr/>
      </w:pPr>
      <w:r>
        <w:rPr/>
      </w:r>
    </w:p>
    <w:p>
      <w:pPr>
        <w:pStyle w:val="Heading3"/>
        <w:spacing w:before="220" w:after="120"/>
        <w:jc w:val="start"/>
        <w:rPr/>
      </w:pPr>
      <w:r>
        <w:rPr>
          <w:rFonts w:eastAsia="Times New Roman" w:cs="Times New Roman" w:ascii="Times New Roman" w:hAnsi="Times New Roman"/>
          <w:b/>
          <w:bCs/>
          <w:sz w:val="24"/>
          <w:szCs w:val="24"/>
        </w:rPr>
        <w:t>4.5.1. Interogarea de rentabilitate</w:t>
      </w:r>
    </w:p>
    <w:p>
      <w:pPr>
        <w:pStyle w:val="Normal"/>
        <w:spacing w:lineRule="auto" w:line="300" w:before="100" w:after="100"/>
        <w:ind w:firstLine="720"/>
        <w:rPr/>
      </w:pPr>
      <w:r>
        <w:rPr>
          <w:rFonts w:eastAsia="Times New Roman" w:cs="Times New Roman"/>
          <w:b w:val="false"/>
          <w:bCs w:val="false"/>
          <w:sz w:val="24"/>
          <w:szCs w:val="24"/>
        </w:rPr>
        <w:t>Prima interogare prelucrează datele din contul de profit și pierdere și calculează toți indicatorii de profitabilitate. Câmpurile calculate sunt definite prin formule care referențiază direct câmpurile din tabelul DATE_FINANCIARE, utilizând sintaxa [NumeCâmp].</w:t>
      </w:r>
    </w:p>
    <w:p>
      <w:pPr>
        <w:pStyle w:val="Normal"/>
        <w:spacing w:before="60" w:after="60"/>
        <w:rPr/>
      </w:pPr>
      <w:r>
        <w:rPr/>
      </w:r>
    </w:p>
    <w:tbl>
      <w:tblPr>
        <w:tblW w:w="9360" w:type="dxa"/>
        <w:jc w:val="start"/>
        <w:tblInd w:w="0" w:type="dxa"/>
        <w:tblLayout w:type="fixed"/>
        <w:tblCellMar>
          <w:top w:w="70" w:type="dxa"/>
          <w:start w:w="100" w:type="dxa"/>
          <w:bottom w:w="70" w:type="dxa"/>
          <w:end w:w="100" w:type="dxa"/>
        </w:tblCellMar>
      </w:tblPr>
      <w:tblGrid>
        <w:gridCol w:w="1199"/>
        <w:gridCol w:w="3401"/>
        <w:gridCol w:w="1299"/>
        <w:gridCol w:w="1300"/>
        <w:gridCol w:w="1080"/>
        <w:gridCol w:w="1081"/>
      </w:tblGrid>
      <w:tr>
        <w:trPr/>
        <w:tc>
          <w:tcPr>
            <w:tcW w:w="1199"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Simbol</w:t>
            </w:r>
          </w:p>
        </w:tc>
        <w:tc>
          <w:tcPr>
            <w:tcW w:w="3401"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Formulă Access SQL</w:t>
            </w:r>
          </w:p>
        </w:tc>
        <w:tc>
          <w:tcPr>
            <w:tcW w:w="1299"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2024</w:t>
            </w:r>
          </w:p>
        </w:tc>
        <w:tc>
          <w:tcPr>
            <w:tcW w:w="1300"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2025</w:t>
            </w:r>
          </w:p>
        </w:tc>
        <w:tc>
          <w:tcPr>
            <w:tcW w:w="1080"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Diag. 2024</w:t>
            </w:r>
          </w:p>
        </w:tc>
        <w:tc>
          <w:tcPr>
            <w:tcW w:w="1081"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Diag. 2025</w:t>
            </w:r>
          </w:p>
        </w:tc>
      </w:tr>
      <w:tr>
        <w:trPr/>
        <w:tc>
          <w:tcPr>
            <w:tcW w:w="11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RRC</w:t>
            </w:r>
          </w:p>
        </w:tc>
        <w:tc>
          <w:tcPr>
            <w:tcW w:w="340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RRC: [RezultatNet]/[CifraAfaceriNeta]*100 D_RRC: IIf([RRC]&gt;10;"OPTIM";IIf([RRC]&gt;0;"ACCEPTABIL";"DEFICITAR"))</w:t>
            </w:r>
          </w:p>
        </w:tc>
        <w:tc>
          <w:tcPr>
            <w:tcW w:w="12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r>
              <w:rPr>
                <w:rFonts w:eastAsia="Times New Roman" w:cs="Times New Roman"/>
                <w:b w:val="false"/>
                <w:bCs w:val="false"/>
                <w:sz w:val="20"/>
                <w:szCs w:val="20"/>
              </w:rPr>
              <w:t>1,98%</w:t>
            </w:r>
          </w:p>
        </w:tc>
        <w:tc>
          <w:tcPr>
            <w:tcW w:w="13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3,22%</w:t>
            </w:r>
          </w:p>
        </w:tc>
        <w:tc>
          <w:tcPr>
            <w:tcW w:w="108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DEFICIT.</w:t>
            </w:r>
          </w:p>
        </w:tc>
        <w:tc>
          <w:tcPr>
            <w:tcW w:w="108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ACCEPT.</w:t>
            </w:r>
          </w:p>
        </w:tc>
      </w:tr>
      <w:tr>
        <w:trPr/>
        <w:tc>
          <w:tcPr>
            <w:tcW w:w="11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ROA</w:t>
            </w:r>
          </w:p>
        </w:tc>
        <w:tc>
          <w:tcPr>
            <w:tcW w:w="340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ROA: [RezultatNet]/([ActiveImobilizate]+[ActiveCirculante])*100 D_ROA: IIf([ROA]&gt;10;"OPTIM";IIf([ROA]&gt;0;"ACCEPTABIL";"DEFICITAR"))</w:t>
            </w:r>
          </w:p>
        </w:tc>
        <w:tc>
          <w:tcPr>
            <w:tcW w:w="12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r>
              <w:rPr>
                <w:rFonts w:eastAsia="Times New Roman" w:cs="Times New Roman"/>
                <w:b w:val="false"/>
                <w:bCs w:val="false"/>
                <w:sz w:val="20"/>
                <w:szCs w:val="20"/>
              </w:rPr>
              <w:t>3,13%</w:t>
            </w:r>
          </w:p>
        </w:tc>
        <w:tc>
          <w:tcPr>
            <w:tcW w:w="13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5,65%</w:t>
            </w:r>
          </w:p>
        </w:tc>
        <w:tc>
          <w:tcPr>
            <w:tcW w:w="108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DEFICIT.</w:t>
            </w:r>
          </w:p>
        </w:tc>
        <w:tc>
          <w:tcPr>
            <w:tcW w:w="108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ACCEPT.</w:t>
            </w:r>
          </w:p>
        </w:tc>
      </w:tr>
      <w:tr>
        <w:trPr/>
        <w:tc>
          <w:tcPr>
            <w:tcW w:w="11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ROE</w:t>
            </w:r>
          </w:p>
        </w:tc>
        <w:tc>
          <w:tcPr>
            <w:tcW w:w="340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ROE: [RezultatNet]/[CapitaluriProprii]*100 D_ROE: IIf([ROE]&gt;20;"OPTIM";IIf([ROE]&gt;10;"ACCEPTABIL";"DEFICITAR"))</w:t>
            </w:r>
          </w:p>
        </w:tc>
        <w:tc>
          <w:tcPr>
            <w:tcW w:w="12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r>
              <w:rPr>
                <w:rFonts w:eastAsia="Times New Roman" w:cs="Times New Roman"/>
                <w:b w:val="false"/>
                <w:bCs w:val="false"/>
                <w:sz w:val="20"/>
                <w:szCs w:val="20"/>
              </w:rPr>
              <w:t>8,17%</w:t>
            </w:r>
          </w:p>
        </w:tc>
        <w:tc>
          <w:tcPr>
            <w:tcW w:w="13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13,55%</w:t>
            </w:r>
          </w:p>
        </w:tc>
        <w:tc>
          <w:tcPr>
            <w:tcW w:w="108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DEFICIT.</w:t>
            </w:r>
          </w:p>
        </w:tc>
        <w:tc>
          <w:tcPr>
            <w:tcW w:w="108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ACCEPT.</w:t>
            </w:r>
          </w:p>
        </w:tc>
      </w:tr>
      <w:tr>
        <w:trPr/>
        <w:tc>
          <w:tcPr>
            <w:tcW w:w="11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MNP</w:t>
            </w:r>
          </w:p>
        </w:tc>
        <w:tc>
          <w:tcPr>
            <w:tcW w:w="340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MNP: [RezultatNet]/([CifraAfaceriNeta]+[AlteVenitExploatare])*100 D_MNP: IIf([MNP]&gt;5;"OPTIM";IIf([MNP]&gt;0;"ACCEPTABIL";"DEFICITAR"))</w:t>
            </w:r>
          </w:p>
        </w:tc>
        <w:tc>
          <w:tcPr>
            <w:tcW w:w="12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r>
              <w:rPr>
                <w:rFonts w:eastAsia="Times New Roman" w:cs="Times New Roman"/>
                <w:b w:val="false"/>
                <w:bCs w:val="false"/>
                <w:sz w:val="20"/>
                <w:szCs w:val="20"/>
              </w:rPr>
              <w:t>1,85%</w:t>
            </w:r>
          </w:p>
        </w:tc>
        <w:tc>
          <w:tcPr>
            <w:tcW w:w="13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3,08%</w:t>
            </w:r>
          </w:p>
        </w:tc>
        <w:tc>
          <w:tcPr>
            <w:tcW w:w="108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DEFICIT.</w:t>
            </w:r>
          </w:p>
        </w:tc>
        <w:tc>
          <w:tcPr>
            <w:tcW w:w="108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ACCEPT.</w:t>
            </w:r>
          </w:p>
        </w:tc>
      </w:tr>
      <w:tr>
        <w:trPr/>
        <w:tc>
          <w:tcPr>
            <w:tcW w:w="11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RCE</w:t>
            </w:r>
          </w:p>
        </w:tc>
        <w:tc>
          <w:tcPr>
            <w:tcW w:w="340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RCE: ([CostMateriePrima]+[CheltuieliPersonal]+[AjustarileValoare]+[AlteCheltuiExplo]+[ImpoziteTaxe])/([CifraAfaceriNeta]+[AlteVenitExploatare])*100 D_RCE: IIf([RCE]&lt;95;"OPTIM";IIf([RCE]&lt;100;"ACCEPTABIL";"DEFICITAR"))</w:t>
            </w:r>
          </w:p>
        </w:tc>
        <w:tc>
          <w:tcPr>
            <w:tcW w:w="12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101,85%</w:t>
            </w:r>
          </w:p>
        </w:tc>
        <w:tc>
          <w:tcPr>
            <w:tcW w:w="13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96,92%</w:t>
            </w:r>
          </w:p>
        </w:tc>
        <w:tc>
          <w:tcPr>
            <w:tcW w:w="108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DEFICIT.</w:t>
            </w:r>
          </w:p>
        </w:tc>
        <w:tc>
          <w:tcPr>
            <w:tcW w:w="108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ACCEPT.</w:t>
            </w:r>
          </w:p>
        </w:tc>
      </w:tr>
      <w:tr>
        <w:trPr/>
        <w:tc>
          <w:tcPr>
            <w:tcW w:w="11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PCP</w:t>
            </w:r>
          </w:p>
        </w:tc>
        <w:tc>
          <w:tcPr>
            <w:tcW w:w="340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PCP: [CheltuieliPersonal]/([CostMateriePrima]+[CheltuieliPersonal]+[AjustarileValoare]+[AlteCheltuiExplo]+[ImpoziteTaxe])*100 D_PCP: IIf([PCP]&lt;25;"OPTIM";IIf([PCP]&lt;35;"ACCEPTABIL";"DEFICITAR"))</w:t>
            </w:r>
          </w:p>
        </w:tc>
        <w:tc>
          <w:tcPr>
            <w:tcW w:w="12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27,52%</w:t>
            </w:r>
          </w:p>
        </w:tc>
        <w:tc>
          <w:tcPr>
            <w:tcW w:w="13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30,39%</w:t>
            </w:r>
          </w:p>
        </w:tc>
        <w:tc>
          <w:tcPr>
            <w:tcW w:w="108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ACCEPT.</w:t>
            </w:r>
          </w:p>
        </w:tc>
        <w:tc>
          <w:tcPr>
            <w:tcW w:w="108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ACCEPT.</w:t>
            </w:r>
          </w:p>
        </w:tc>
      </w:tr>
    </w:tbl>
    <w:p>
      <w:pPr>
        <w:pStyle w:val="Normal"/>
        <w:spacing w:before="80" w:after="200"/>
        <w:jc w:val="start"/>
        <w:rPr/>
      </w:pPr>
      <w:r>
        <w:rPr>
          <w:rFonts w:eastAsia="Times New Roman" w:cs="Times New Roman"/>
          <w:sz w:val="18"/>
          <w:szCs w:val="18"/>
        </w:rPr>
        <w:t>Tabelul 4.4. Interogarea de rentabilitate – Query Design Grid cu formule IIf și rezultate. DEFICIT. = DEFICITAR; ACCEPT. = ACCEPTABIL. Sursa: Proiectare proprie.</w:t>
      </w:r>
    </w:p>
    <w:p>
      <w:pPr>
        <w:pStyle w:val="Normal"/>
        <w:spacing w:before="60" w:after="60"/>
        <w:rPr/>
      </w:pPr>
      <w:r>
        <w:rPr/>
      </w:r>
    </w:p>
    <w:p>
      <w:pPr>
        <w:pStyle w:val="Normal"/>
        <w:spacing w:lineRule="auto" w:line="300" w:before="100" w:after="100"/>
        <w:ind w:firstLine="720"/>
        <w:rPr/>
      </w:pPr>
      <w:r>
        <w:rPr>
          <w:rFonts w:eastAsia="Times New Roman" w:cs="Times New Roman"/>
          <w:b w:val="false"/>
          <w:bCs w:val="false"/>
          <w:sz w:val="24"/>
          <w:szCs w:val="24"/>
        </w:rPr>
        <w:t>Analiza diagnosticelor pentru exercițiul 2025 evidențiază o schimbare radicală față de 2024: toți indicatorii de rentabilitate au trecut din zona DEFICITAR în zona ACCEPTABIL, confirmând că redresarea financiară este autentică și transversală. Rata cheltuielilor de exploatare (RCE = 96,92%) a coborât sub pragul critic de 100%, marcând intrarea în zona profitabilității operaționale. Ponderea cheltuielilor cu personalul rămâne în zona ACCEPTABIL în ambii ani, dar evoluția ascendentă (+2,87 p.p.) justifică monitorizarea continuă.</w:t>
      </w:r>
    </w:p>
    <w:p>
      <w:pPr>
        <w:pStyle w:val="Normal"/>
        <w:spacing w:before="60" w:after="60"/>
        <w:rPr/>
      </w:pPr>
      <w:r>
        <w:rPr/>
      </w:r>
    </w:p>
    <w:p>
      <w:pPr>
        <w:pStyle w:val="Heading3"/>
        <w:spacing w:before="220" w:after="120"/>
        <w:jc w:val="start"/>
        <w:rPr/>
      </w:pPr>
      <w:r>
        <w:rPr>
          <w:rFonts w:eastAsia="Times New Roman" w:cs="Times New Roman" w:ascii="Times New Roman" w:hAnsi="Times New Roman"/>
          <w:b/>
          <w:bCs/>
          <w:sz w:val="24"/>
          <w:szCs w:val="24"/>
        </w:rPr>
        <w:t>4.5.2. Interogarea de lichiditate și solvabilitate</w:t>
      </w:r>
    </w:p>
    <w:p>
      <w:pPr>
        <w:pStyle w:val="Normal"/>
        <w:spacing w:lineRule="auto" w:line="300" w:before="100" w:after="100"/>
        <w:ind w:firstLine="720"/>
        <w:rPr/>
      </w:pPr>
      <w:r>
        <w:rPr>
          <w:rFonts w:eastAsia="Times New Roman" w:cs="Times New Roman"/>
          <w:b w:val="false"/>
          <w:bCs w:val="false"/>
          <w:sz w:val="24"/>
          <w:szCs w:val="24"/>
        </w:rPr>
        <w:t>A doua interogare calculează indicatorii de capacitate de plată și de soliditate structurală, pe baza datelor din bilanțul prescurtat F10.</w:t>
      </w:r>
    </w:p>
    <w:p>
      <w:pPr>
        <w:pStyle w:val="Normal"/>
        <w:spacing w:before="60" w:after="60"/>
        <w:rPr/>
      </w:pPr>
      <w:r>
        <w:rPr/>
      </w:r>
    </w:p>
    <w:tbl>
      <w:tblPr>
        <w:tblW w:w="9360" w:type="dxa"/>
        <w:jc w:val="start"/>
        <w:tblInd w:w="0" w:type="dxa"/>
        <w:tblLayout w:type="fixed"/>
        <w:tblCellMar>
          <w:top w:w="70" w:type="dxa"/>
          <w:start w:w="100" w:type="dxa"/>
          <w:bottom w:w="70" w:type="dxa"/>
          <w:end w:w="100" w:type="dxa"/>
        </w:tblCellMar>
      </w:tblPr>
      <w:tblGrid>
        <w:gridCol w:w="1199"/>
        <w:gridCol w:w="3401"/>
        <w:gridCol w:w="1299"/>
        <w:gridCol w:w="1300"/>
        <w:gridCol w:w="1080"/>
        <w:gridCol w:w="1081"/>
      </w:tblGrid>
      <w:tr>
        <w:trPr/>
        <w:tc>
          <w:tcPr>
            <w:tcW w:w="1199"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Simbol</w:t>
            </w:r>
          </w:p>
        </w:tc>
        <w:tc>
          <w:tcPr>
            <w:tcW w:w="3401"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Formulă Access SQL</w:t>
            </w:r>
          </w:p>
        </w:tc>
        <w:tc>
          <w:tcPr>
            <w:tcW w:w="1299"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2024</w:t>
            </w:r>
          </w:p>
        </w:tc>
        <w:tc>
          <w:tcPr>
            <w:tcW w:w="1300"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2025</w:t>
            </w:r>
          </w:p>
        </w:tc>
        <w:tc>
          <w:tcPr>
            <w:tcW w:w="1080"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Diag. 2024</w:t>
            </w:r>
          </w:p>
        </w:tc>
        <w:tc>
          <w:tcPr>
            <w:tcW w:w="1081"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Diag. 2025</w:t>
            </w:r>
          </w:p>
        </w:tc>
      </w:tr>
      <w:tr>
        <w:trPr/>
        <w:tc>
          <w:tcPr>
            <w:tcW w:w="11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LC</w:t>
            </w:r>
          </w:p>
        </w:tc>
        <w:tc>
          <w:tcPr>
            <w:tcW w:w="340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LC: [ActiveCirculante]/[DatoriiCurente] D_LC: IIf([LC]&gt;1.2;"OPTIM";IIf([LC]&gt;1;"ACCEPTABIL";"DEFICITAR"))</w:t>
            </w:r>
          </w:p>
        </w:tc>
        <w:tc>
          <w:tcPr>
            <w:tcW w:w="12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0,107</w:t>
            </w:r>
          </w:p>
        </w:tc>
        <w:tc>
          <w:tcPr>
            <w:tcW w:w="13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0,153</w:t>
            </w:r>
          </w:p>
        </w:tc>
        <w:tc>
          <w:tcPr>
            <w:tcW w:w="108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DEFICIT.</w:t>
            </w:r>
          </w:p>
        </w:tc>
        <w:tc>
          <w:tcPr>
            <w:tcW w:w="108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DEFICIT.</w:t>
            </w:r>
          </w:p>
        </w:tc>
      </w:tr>
      <w:tr>
        <w:trPr/>
        <w:tc>
          <w:tcPr>
            <w:tcW w:w="11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LR</w:t>
            </w:r>
          </w:p>
        </w:tc>
        <w:tc>
          <w:tcPr>
            <w:tcW w:w="340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LR: ([ActiveCirculante]-[Stocuri])/[DatoriiCurente] D_LR: IIf([LR]&gt;1;"OPTIM";IIf([LR]&gt;0.8;"ACCEPTABIL";"DEFICITAR"))</w:t>
            </w:r>
          </w:p>
        </w:tc>
        <w:tc>
          <w:tcPr>
            <w:tcW w:w="12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0,054</w:t>
            </w:r>
          </w:p>
        </w:tc>
        <w:tc>
          <w:tcPr>
            <w:tcW w:w="13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0,064</w:t>
            </w:r>
          </w:p>
        </w:tc>
        <w:tc>
          <w:tcPr>
            <w:tcW w:w="108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DEFICIT.</w:t>
            </w:r>
          </w:p>
        </w:tc>
        <w:tc>
          <w:tcPr>
            <w:tcW w:w="108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DEFICIT.</w:t>
            </w:r>
          </w:p>
        </w:tc>
      </w:tr>
      <w:tr>
        <w:trPr/>
        <w:tc>
          <w:tcPr>
            <w:tcW w:w="11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LI</w:t>
            </w:r>
          </w:p>
        </w:tc>
        <w:tc>
          <w:tcPr>
            <w:tcW w:w="340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LI: [CasaSiConturi]/[DatoriiCurente] D_LI: IIf([LI]&gt;0.5;"OPTIM";IIf([LI]&gt;0.2;"ACCEPTABIL";"DEFICITAR"))</w:t>
            </w:r>
          </w:p>
        </w:tc>
        <w:tc>
          <w:tcPr>
            <w:tcW w:w="12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0,015</w:t>
            </w:r>
          </w:p>
        </w:tc>
        <w:tc>
          <w:tcPr>
            <w:tcW w:w="13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0,036</w:t>
            </w:r>
          </w:p>
        </w:tc>
        <w:tc>
          <w:tcPr>
            <w:tcW w:w="108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DEFICIT.</w:t>
            </w:r>
          </w:p>
        </w:tc>
        <w:tc>
          <w:tcPr>
            <w:tcW w:w="108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DEFICIT.</w:t>
            </w:r>
          </w:p>
        </w:tc>
      </w:tr>
      <w:tr>
        <w:trPr/>
        <w:tc>
          <w:tcPr>
            <w:tcW w:w="11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SG</w:t>
            </w:r>
          </w:p>
        </w:tc>
        <w:tc>
          <w:tcPr>
            <w:tcW w:w="340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SG: ([ActiveImobilizate]+[ActiveCirculante])/([DatoriiCurente]+[DatoriiTermenLung])*100 D_SG: IIf([SG]&gt;200;"OPTIM";IIf([SG]&gt;100;"ACCEPTABIL";"DEFICITAR"))</w:t>
            </w:r>
          </w:p>
        </w:tc>
        <w:tc>
          <w:tcPr>
            <w:tcW w:w="12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162,0%</w:t>
            </w:r>
          </w:p>
        </w:tc>
        <w:tc>
          <w:tcPr>
            <w:tcW w:w="13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171,6%</w:t>
            </w:r>
          </w:p>
        </w:tc>
        <w:tc>
          <w:tcPr>
            <w:tcW w:w="108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ACCEPT.</w:t>
            </w:r>
          </w:p>
        </w:tc>
        <w:tc>
          <w:tcPr>
            <w:tcW w:w="108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ACCEPT.</w:t>
            </w:r>
          </w:p>
        </w:tc>
      </w:tr>
      <w:tr>
        <w:trPr/>
        <w:tc>
          <w:tcPr>
            <w:tcW w:w="11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GI</w:t>
            </w:r>
          </w:p>
        </w:tc>
        <w:tc>
          <w:tcPr>
            <w:tcW w:w="340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GI: ([DatoriiCurente]+[DatoriiTermenLung])/([ActiveImobilizate]+[ActiveCirculante])*100 D_GI: IIf([GI]&lt;40;"OPTIM";IIf([GI]&lt;60;"ACCEPTABIL";"DEFICITAR"))</w:t>
            </w:r>
          </w:p>
        </w:tc>
        <w:tc>
          <w:tcPr>
            <w:tcW w:w="12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61,7%</w:t>
            </w:r>
          </w:p>
        </w:tc>
        <w:tc>
          <w:tcPr>
            <w:tcW w:w="13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58,3%</w:t>
            </w:r>
          </w:p>
        </w:tc>
        <w:tc>
          <w:tcPr>
            <w:tcW w:w="108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DEFICIT.</w:t>
            </w:r>
          </w:p>
        </w:tc>
        <w:tc>
          <w:tcPr>
            <w:tcW w:w="108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ACCEPT.</w:t>
            </w:r>
          </w:p>
        </w:tc>
      </w:tr>
      <w:tr>
        <w:trPr/>
        <w:tc>
          <w:tcPr>
            <w:tcW w:w="11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AF</w:t>
            </w:r>
          </w:p>
        </w:tc>
        <w:tc>
          <w:tcPr>
            <w:tcW w:w="340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AF: [CapitaluriProprii]/([ActiveImobilizate]+[ActiveCirculante])*100 D_AF: IIf([AF]&gt;60;"OPTIM";IIf([AF]&gt;40;"ACCEPTABIL";"DEFICITAR"))</w:t>
            </w:r>
          </w:p>
        </w:tc>
        <w:tc>
          <w:tcPr>
            <w:tcW w:w="12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38,3%</w:t>
            </w:r>
          </w:p>
        </w:tc>
        <w:tc>
          <w:tcPr>
            <w:tcW w:w="13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41,7%</w:t>
            </w:r>
          </w:p>
        </w:tc>
        <w:tc>
          <w:tcPr>
            <w:tcW w:w="108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DEFICIT.</w:t>
            </w:r>
          </w:p>
        </w:tc>
        <w:tc>
          <w:tcPr>
            <w:tcW w:w="108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ACCEPT.</w:t>
            </w:r>
          </w:p>
        </w:tc>
      </w:tr>
    </w:tbl>
    <w:p>
      <w:pPr>
        <w:pStyle w:val="Normal"/>
        <w:spacing w:before="80" w:after="200"/>
        <w:jc w:val="start"/>
        <w:rPr/>
      </w:pPr>
      <w:r>
        <w:rPr>
          <w:rFonts w:eastAsia="Times New Roman" w:cs="Times New Roman"/>
          <w:sz w:val="18"/>
          <w:szCs w:val="18"/>
        </w:rPr>
        <w:t>Tabelul 4.5. Interogarea de lichiditate și solvabilitate – Query Design Grid. Sursa: Proiectare proprie.</w:t>
      </w:r>
    </w:p>
    <w:p>
      <w:pPr>
        <w:pStyle w:val="Normal"/>
        <w:spacing w:before="60" w:after="60"/>
        <w:rPr/>
      </w:pPr>
      <w:r>
        <w:rPr/>
      </w:r>
    </w:p>
    <w:p>
      <w:pPr>
        <w:pStyle w:val="Normal"/>
        <w:spacing w:lineRule="auto" w:line="300" w:before="100" w:after="100"/>
        <w:ind w:firstLine="720"/>
        <w:rPr/>
      </w:pPr>
      <w:r>
        <w:rPr>
          <w:rFonts w:eastAsia="Times New Roman" w:cs="Times New Roman"/>
          <w:b w:val="false"/>
          <w:bCs w:val="false"/>
          <w:sz w:val="24"/>
          <w:szCs w:val="24"/>
        </w:rPr>
        <w:t>Diagnosticele din această categorie oglindesc dualitatea constatată în capitolul analitic: lichiditatea (LC, LR, LI) rămâne în zona DEFICITAR în ambii ani, în timp ce indicatorii structurali (SG, GI, AF) s-au ameliorat semnificativ. Gradul de îndatorare a trecut din DEFICITAR în ACCEPTABIL în 2025, iar autonomia financiară a atins pragul inferior al zonei ACCEPTABIL. Câmpurile cu diagnostic DEFICITAR sunt marcate automat cu roșu în rapoartele aplicației, atrăgând instant atenția utilizatorului asupra zonelor critice.</w:t>
      </w:r>
    </w:p>
    <w:p>
      <w:pPr>
        <w:pStyle w:val="Normal"/>
        <w:spacing w:before="60" w:after="60"/>
        <w:rPr/>
      </w:pPr>
      <w:r>
        <w:rPr/>
      </w:r>
    </w:p>
    <w:p>
      <w:pPr>
        <w:pStyle w:val="Heading3"/>
        <w:spacing w:before="220" w:after="120"/>
        <w:jc w:val="start"/>
        <w:rPr/>
      </w:pPr>
      <w:r>
        <w:rPr>
          <w:rFonts w:eastAsia="Times New Roman" w:cs="Times New Roman" w:ascii="Times New Roman" w:hAnsi="Times New Roman"/>
          <w:b/>
          <w:bCs/>
          <w:sz w:val="24"/>
          <w:szCs w:val="24"/>
        </w:rPr>
        <w:t>4.5.3. Interogarea de gestiune și echilibru financiar</w:t>
      </w:r>
    </w:p>
    <w:p>
      <w:pPr>
        <w:pStyle w:val="Normal"/>
        <w:spacing w:lineRule="auto" w:line="300" w:before="100" w:after="100"/>
        <w:ind w:firstLine="720"/>
        <w:rPr/>
      </w:pPr>
      <w:r>
        <w:rPr>
          <w:rFonts w:eastAsia="Times New Roman" w:cs="Times New Roman"/>
          <w:b w:val="false"/>
          <w:bCs w:val="false"/>
          <w:sz w:val="24"/>
          <w:szCs w:val="24"/>
        </w:rPr>
        <w:t>Cea de-a treia interogare calculează indicatorii de eficiență operațională și de echilibru structural.</w:t>
      </w:r>
    </w:p>
    <w:p>
      <w:pPr>
        <w:pStyle w:val="Normal"/>
        <w:spacing w:before="60" w:after="60"/>
        <w:rPr/>
      </w:pPr>
      <w:r>
        <w:rPr/>
      </w:r>
    </w:p>
    <w:tbl>
      <w:tblPr>
        <w:tblW w:w="9360" w:type="dxa"/>
        <w:jc w:val="start"/>
        <w:tblInd w:w="0" w:type="dxa"/>
        <w:tblLayout w:type="fixed"/>
        <w:tblCellMar>
          <w:top w:w="70" w:type="dxa"/>
          <w:start w:w="100" w:type="dxa"/>
          <w:bottom w:w="70" w:type="dxa"/>
          <w:end w:w="100" w:type="dxa"/>
        </w:tblCellMar>
      </w:tblPr>
      <w:tblGrid>
        <w:gridCol w:w="1199"/>
        <w:gridCol w:w="3401"/>
        <w:gridCol w:w="1299"/>
        <w:gridCol w:w="1300"/>
        <w:gridCol w:w="1080"/>
        <w:gridCol w:w="1081"/>
      </w:tblGrid>
      <w:tr>
        <w:trPr/>
        <w:tc>
          <w:tcPr>
            <w:tcW w:w="1199"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Simbol</w:t>
            </w:r>
          </w:p>
        </w:tc>
        <w:tc>
          <w:tcPr>
            <w:tcW w:w="3401"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Formulă Access SQL</w:t>
            </w:r>
          </w:p>
        </w:tc>
        <w:tc>
          <w:tcPr>
            <w:tcW w:w="1299"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2024</w:t>
            </w:r>
          </w:p>
        </w:tc>
        <w:tc>
          <w:tcPr>
            <w:tcW w:w="1300"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2025</w:t>
            </w:r>
          </w:p>
        </w:tc>
        <w:tc>
          <w:tcPr>
            <w:tcW w:w="1080"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Diag. 2024</w:t>
            </w:r>
          </w:p>
        </w:tc>
        <w:tc>
          <w:tcPr>
            <w:tcW w:w="1081"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Diag. 2025</w:t>
            </w:r>
          </w:p>
        </w:tc>
      </w:tr>
      <w:tr>
        <w:trPr/>
        <w:tc>
          <w:tcPr>
            <w:tcW w:w="11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VRC</w:t>
            </w:r>
          </w:p>
        </w:tc>
        <w:tc>
          <w:tcPr>
            <w:tcW w:w="340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VRC: [CifraAfaceriNeta]/[Creante] D_VRC: IIf([VRC]&gt;12;"OPTIM";IIf([VRC]&gt;6;"ACCEPTABIL";"DEFICITAR"))</w:t>
            </w:r>
          </w:p>
        </w:tc>
        <w:tc>
          <w:tcPr>
            <w:tcW w:w="12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78,7</w:t>
            </w:r>
          </w:p>
        </w:tc>
        <w:tc>
          <w:tcPr>
            <w:tcW w:w="13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119,4</w:t>
            </w:r>
          </w:p>
        </w:tc>
        <w:tc>
          <w:tcPr>
            <w:tcW w:w="108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OPTIM</w:t>
            </w:r>
          </w:p>
        </w:tc>
        <w:tc>
          <w:tcPr>
            <w:tcW w:w="108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OPTIM</w:t>
            </w:r>
          </w:p>
        </w:tc>
      </w:tr>
      <w:tr>
        <w:trPr/>
        <w:tc>
          <w:tcPr>
            <w:tcW w:w="11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DIC</w:t>
            </w:r>
          </w:p>
        </w:tc>
        <w:tc>
          <w:tcPr>
            <w:tcW w:w="340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DIC: 360/([CifraAfaceriNeta]/[Creante]) D_DIC: IIf([DIC]&lt;30;"OPTIM";IIf([DIC]&lt;60;"ACCEPTABIL";"DEFICITAR"))</w:t>
            </w:r>
          </w:p>
        </w:tc>
        <w:tc>
          <w:tcPr>
            <w:tcW w:w="12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4,6 zile</w:t>
            </w:r>
          </w:p>
        </w:tc>
        <w:tc>
          <w:tcPr>
            <w:tcW w:w="13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3,0 zile</w:t>
            </w:r>
          </w:p>
        </w:tc>
        <w:tc>
          <w:tcPr>
            <w:tcW w:w="108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OPTIM</w:t>
            </w:r>
          </w:p>
        </w:tc>
        <w:tc>
          <w:tcPr>
            <w:tcW w:w="108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OPTIM</w:t>
            </w:r>
          </w:p>
        </w:tc>
      </w:tr>
      <w:tr>
        <w:trPr/>
        <w:tc>
          <w:tcPr>
            <w:tcW w:w="11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VRS</w:t>
            </w:r>
          </w:p>
        </w:tc>
        <w:tc>
          <w:tcPr>
            <w:tcW w:w="340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VRS: ([CostMateriePrima]+[AjustarileValoare])/[Stocuri] D_VRS: IIf([VRS]&gt;24;"OPTIM";IIf([VRS]&gt;12;"ACCEPTABIL";"DEFICITAR"))</w:t>
            </w:r>
          </w:p>
        </w:tc>
        <w:tc>
          <w:tcPr>
            <w:tcW w:w="12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10,7</w:t>
            </w:r>
          </w:p>
        </w:tc>
        <w:tc>
          <w:tcPr>
            <w:tcW w:w="13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4,4</w:t>
            </w:r>
          </w:p>
        </w:tc>
        <w:tc>
          <w:tcPr>
            <w:tcW w:w="108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ACCEPT.</w:t>
            </w:r>
          </w:p>
        </w:tc>
        <w:tc>
          <w:tcPr>
            <w:tcW w:w="108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DEFICIT.</w:t>
            </w:r>
          </w:p>
        </w:tc>
      </w:tr>
      <w:tr>
        <w:trPr/>
        <w:tc>
          <w:tcPr>
            <w:tcW w:w="11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VRA</w:t>
            </w:r>
          </w:p>
        </w:tc>
        <w:tc>
          <w:tcPr>
            <w:tcW w:w="340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VRA: [CifraAfaceriNeta]/([ActiveImobilizate]+[ActiveCirculante]) D_VRA: IIf([VRA]&gt;1.5;"OPTIM";IIf([VRA]&gt;1;"ACCEPTABIL";"DEFICITAR"))</w:t>
            </w:r>
          </w:p>
        </w:tc>
        <w:tc>
          <w:tcPr>
            <w:tcW w:w="12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1,58</w:t>
            </w:r>
          </w:p>
        </w:tc>
        <w:tc>
          <w:tcPr>
            <w:tcW w:w="13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1,76</w:t>
            </w:r>
          </w:p>
        </w:tc>
        <w:tc>
          <w:tcPr>
            <w:tcW w:w="108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OPTIM</w:t>
            </w:r>
          </w:p>
        </w:tc>
        <w:tc>
          <w:tcPr>
            <w:tcW w:w="108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OPTIM</w:t>
            </w:r>
          </w:p>
        </w:tc>
      </w:tr>
      <w:tr>
        <w:trPr/>
        <w:tc>
          <w:tcPr>
            <w:tcW w:w="11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FR</w:t>
            </w:r>
          </w:p>
        </w:tc>
        <w:tc>
          <w:tcPr>
            <w:tcW w:w="340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FR: ([CapitaluriProprii]+[DatoriiTermenLung])-[ActiveImobilizate] D_FR: IIf([FR]&gt;0;"OPTIM";"DEFICITAR")</w:t>
            </w:r>
          </w:p>
        </w:tc>
        <w:tc>
          <w:tcPr>
            <w:tcW w:w="12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r>
              <w:rPr>
                <w:rFonts w:eastAsia="Times New Roman" w:cs="Times New Roman"/>
                <w:b w:val="false"/>
                <w:bCs w:val="false"/>
                <w:sz w:val="20"/>
                <w:szCs w:val="20"/>
              </w:rPr>
              <w:t>625.793</w:t>
            </w:r>
          </w:p>
        </w:tc>
        <w:tc>
          <w:tcPr>
            <w:tcW w:w="13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r>
              <w:rPr>
                <w:rFonts w:eastAsia="Times New Roman" w:cs="Times New Roman"/>
                <w:b w:val="false"/>
                <w:bCs w:val="false"/>
                <w:sz w:val="20"/>
                <w:szCs w:val="20"/>
              </w:rPr>
              <w:t>645.272</w:t>
            </w:r>
          </w:p>
        </w:tc>
        <w:tc>
          <w:tcPr>
            <w:tcW w:w="108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DEFICIT.</w:t>
            </w:r>
          </w:p>
        </w:tc>
        <w:tc>
          <w:tcPr>
            <w:tcW w:w="108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DEFICIT.</w:t>
            </w:r>
          </w:p>
        </w:tc>
      </w:tr>
      <w:tr>
        <w:trPr/>
        <w:tc>
          <w:tcPr>
            <w:tcW w:w="11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TN</w:t>
            </w:r>
          </w:p>
        </w:tc>
        <w:tc>
          <w:tcPr>
            <w:tcW w:w="340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TN: ([CapitaluriProprii]+[DatoriiTermenLung])-[ActiveImobilizate]-(([ActiveCirculante]-[Stocuri])-[DatoriiCurente]) D_TN: IIf([TN]&gt;0;"OPTIM";"DEFICITAR")</w:t>
            </w:r>
          </w:p>
        </w:tc>
        <w:tc>
          <w:tcPr>
            <w:tcW w:w="12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36.630</w:t>
            </w:r>
          </w:p>
        </w:tc>
        <w:tc>
          <w:tcPr>
            <w:tcW w:w="13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67.851</w:t>
            </w:r>
          </w:p>
        </w:tc>
        <w:tc>
          <w:tcPr>
            <w:tcW w:w="108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OPTIM</w:t>
            </w:r>
          </w:p>
        </w:tc>
        <w:tc>
          <w:tcPr>
            <w:tcW w:w="108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OPTIM</w:t>
            </w:r>
          </w:p>
        </w:tc>
      </w:tr>
      <w:tr>
        <w:trPr/>
        <w:tc>
          <w:tcPr>
            <w:tcW w:w="11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DAD</w:t>
            </w:r>
          </w:p>
        </w:tc>
        <w:tc>
          <w:tcPr>
            <w:tcW w:w="340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DAD: ([DatoriiCurente]+[DatoriiTermenLung])/[CifraAfaceriNeta]*365 D_DAD: IIf([DAD]&lt;90;"OPTIM";IIf([DAD]&lt;180;"ACCEPTABIL";"DEFICITAR"))</w:t>
            </w:r>
          </w:p>
        </w:tc>
        <w:tc>
          <w:tcPr>
            <w:tcW w:w="12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142,6 zile</w:t>
            </w:r>
          </w:p>
        </w:tc>
        <w:tc>
          <w:tcPr>
            <w:tcW w:w="13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121,1 zile</w:t>
            </w:r>
          </w:p>
        </w:tc>
        <w:tc>
          <w:tcPr>
            <w:tcW w:w="108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ACCEPT.</w:t>
            </w:r>
          </w:p>
        </w:tc>
        <w:tc>
          <w:tcPr>
            <w:tcW w:w="108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ACCEPT.</w:t>
            </w:r>
          </w:p>
        </w:tc>
      </w:tr>
    </w:tbl>
    <w:p>
      <w:pPr>
        <w:pStyle w:val="Normal"/>
        <w:spacing w:before="80" w:after="200"/>
        <w:jc w:val="start"/>
        <w:rPr/>
      </w:pPr>
      <w:r>
        <w:rPr>
          <w:rFonts w:eastAsia="Times New Roman" w:cs="Times New Roman"/>
          <w:sz w:val="18"/>
          <w:szCs w:val="18"/>
        </w:rPr>
        <w:t>Tabelul 4.6. Interogarea de gestiune și echilibru financiar – Query Design Grid. Sursa: Proiectare proprie.</w:t>
      </w:r>
    </w:p>
    <w:p>
      <w:pPr>
        <w:pStyle w:val="Normal"/>
        <w:spacing w:before="60" w:after="60"/>
        <w:rPr/>
      </w:pPr>
      <w:r>
        <w:rPr/>
      </w:r>
    </w:p>
    <w:p>
      <w:pPr>
        <w:pStyle w:val="Normal"/>
        <w:spacing w:lineRule="auto" w:line="300" w:before="100" w:after="100"/>
        <w:ind w:firstLine="720"/>
        <w:rPr/>
      </w:pPr>
      <w:r>
        <w:rPr>
          <w:rFonts w:eastAsia="Times New Roman" w:cs="Times New Roman"/>
          <w:b w:val="false"/>
          <w:bCs w:val="false"/>
          <w:sz w:val="24"/>
          <w:szCs w:val="24"/>
        </w:rPr>
        <w:t>Indicatorii de gestiune prezintă cele mai variate diagnostice, reflectând tabloul complex al eficienței operaționale. Viteza de rotație a creanțelor (VRC) și trezoreria netă (TN) obțin OPTIM în ambii ani – performanțe remarcabile. Viteza de rotație a activelor (VRA) se menține la OPTIM, confirmând valorificarea eficientă a bazei de active. Fondul de rulment (FR) este DEFICITAR în ambii ani, semnalând dezechilibrul structural persistent. Viteza de rotație a stocurilor (VRS) a trecut din ACCEPTABIL în DEFICITAR în 2025, ca efect al creșterii rapide a soldului stocurilor (+84,53%).</w:t>
      </w:r>
    </w:p>
    <w:p>
      <w:pPr>
        <w:pStyle w:val="Normal"/>
        <w:spacing w:before="60" w:after="60"/>
        <w:rPr/>
      </w:pPr>
      <w:r>
        <w:rPr/>
      </w:r>
    </w:p>
    <w:p>
      <w:pPr>
        <w:pStyle w:val="Heading2"/>
        <w:spacing w:before="280" w:after="160"/>
        <w:jc w:val="start"/>
        <w:rPr/>
      </w:pPr>
      <w:r>
        <w:rPr>
          <w:rFonts w:eastAsia="Times New Roman" w:cs="Times New Roman" w:ascii="Times New Roman" w:hAnsi="Times New Roman"/>
          <w:b/>
          <w:bCs/>
          <w:sz w:val="26"/>
          <w:szCs w:val="26"/>
        </w:rPr>
        <w:t>4.6. Matricea de performanță – referențialul de evaluare</w:t>
      </w:r>
    </w:p>
    <w:p>
      <w:pPr>
        <w:pStyle w:val="Normal"/>
        <w:spacing w:lineRule="auto" w:line="300" w:before="100" w:after="100"/>
        <w:ind w:firstLine="720"/>
        <w:rPr/>
      </w:pPr>
      <w:r>
        <w:rPr>
          <w:rFonts w:eastAsia="Times New Roman" w:cs="Times New Roman"/>
          <w:b w:val="false"/>
          <w:bCs w:val="false"/>
          <w:sz w:val="24"/>
          <w:szCs w:val="24"/>
        </w:rPr>
        <w:t>Matricea de performanță constituie componenta metodologică a aplicației, definind pragurile valorice pe baza cărora funcțiile IIf generează calificativele de diagnostic. Pragurile au fost calibrate în raport cu recomandările literaturii de specialitate în analiza economico-financiară, adaptate specificului activității entității.</w:t>
      </w:r>
    </w:p>
    <w:p>
      <w:pPr>
        <w:pStyle w:val="Normal"/>
        <w:spacing w:before="60" w:after="60"/>
        <w:rPr/>
      </w:pPr>
      <w:r>
        <w:rPr/>
      </w:r>
    </w:p>
    <w:tbl>
      <w:tblPr>
        <w:tblW w:w="9360" w:type="dxa"/>
        <w:jc w:val="start"/>
        <w:tblInd w:w="0" w:type="dxa"/>
        <w:tblLayout w:type="fixed"/>
        <w:tblCellMar>
          <w:top w:w="70" w:type="dxa"/>
          <w:start w:w="100" w:type="dxa"/>
          <w:bottom w:w="70" w:type="dxa"/>
          <w:end w:w="100" w:type="dxa"/>
        </w:tblCellMar>
      </w:tblPr>
      <w:tblGrid>
        <w:gridCol w:w="2399"/>
        <w:gridCol w:w="2001"/>
        <w:gridCol w:w="2000"/>
        <w:gridCol w:w="1499"/>
        <w:gridCol w:w="1461"/>
      </w:tblGrid>
      <w:tr>
        <w:trPr/>
        <w:tc>
          <w:tcPr>
            <w:tcW w:w="2399"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Indicator</w:t>
            </w:r>
          </w:p>
        </w:tc>
        <w:tc>
          <w:tcPr>
            <w:tcW w:w="2001" w:type="dxa"/>
            <w:tcBorders>
              <w:top w:val="single" w:sz="2" w:space="0" w:color="888888"/>
              <w:start w:val="single" w:sz="2" w:space="0" w:color="888888"/>
              <w:bottom w:val="single" w:sz="2" w:space="0" w:color="888888"/>
              <w:end w:val="single" w:sz="2" w:space="0" w:color="888888"/>
            </w:tcBorders>
            <w:shd w:fill="C6EFCE" w:val="clear"/>
            <w:vAlign w:val="center"/>
          </w:tcPr>
          <w:p>
            <w:pPr>
              <w:pStyle w:val="Normal"/>
              <w:jc w:val="center"/>
              <w:rPr/>
            </w:pPr>
            <w:r>
              <w:rPr>
                <w:rFonts w:eastAsia="Times New Roman" w:cs="Times New Roman"/>
                <w:b/>
                <w:bCs/>
                <w:sz w:val="20"/>
                <w:szCs w:val="20"/>
              </w:rPr>
              <w:t>OPTIM</w:t>
            </w:r>
          </w:p>
        </w:tc>
        <w:tc>
          <w:tcPr>
            <w:tcW w:w="2000" w:type="dxa"/>
            <w:tcBorders>
              <w:top w:val="single" w:sz="2" w:space="0" w:color="888888"/>
              <w:start w:val="single" w:sz="2" w:space="0" w:color="888888"/>
              <w:bottom w:val="single" w:sz="2" w:space="0" w:color="888888"/>
              <w:end w:val="single" w:sz="2" w:space="0" w:color="888888"/>
            </w:tcBorders>
            <w:shd w:fill="FFF2CC" w:val="clear"/>
            <w:vAlign w:val="center"/>
          </w:tcPr>
          <w:p>
            <w:pPr>
              <w:pStyle w:val="Normal"/>
              <w:jc w:val="center"/>
              <w:rPr/>
            </w:pPr>
            <w:r>
              <w:rPr>
                <w:rFonts w:eastAsia="Times New Roman" w:cs="Times New Roman"/>
                <w:b/>
                <w:bCs/>
                <w:sz w:val="20"/>
                <w:szCs w:val="20"/>
              </w:rPr>
              <w:t>ACCEPTABIL</w:t>
            </w:r>
          </w:p>
        </w:tc>
        <w:tc>
          <w:tcPr>
            <w:tcW w:w="1499" w:type="dxa"/>
            <w:tcBorders>
              <w:top w:val="single" w:sz="2" w:space="0" w:color="888888"/>
              <w:start w:val="single" w:sz="2" w:space="0" w:color="888888"/>
              <w:bottom w:val="single" w:sz="2" w:space="0" w:color="888888"/>
              <w:end w:val="single" w:sz="2" w:space="0" w:color="888888"/>
            </w:tcBorders>
            <w:shd w:fill="FFCCCC" w:val="clear"/>
            <w:vAlign w:val="center"/>
          </w:tcPr>
          <w:p>
            <w:pPr>
              <w:pStyle w:val="Normal"/>
              <w:jc w:val="center"/>
              <w:rPr/>
            </w:pPr>
            <w:r>
              <w:rPr>
                <w:rFonts w:eastAsia="Times New Roman" w:cs="Times New Roman"/>
                <w:b/>
                <w:bCs/>
                <w:sz w:val="20"/>
                <w:szCs w:val="20"/>
              </w:rPr>
              <w:t>DEFICITAR</w:t>
            </w:r>
          </w:p>
        </w:tc>
        <w:tc>
          <w:tcPr>
            <w:tcW w:w="1461"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Diag. 2025</w:t>
            </w:r>
          </w:p>
        </w:tc>
      </w:tr>
      <w:tr>
        <w:trPr/>
        <w:tc>
          <w:tcPr>
            <w:tcW w:w="23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Rata rent. comerciale (RRC)</w:t>
            </w:r>
          </w:p>
        </w:tc>
        <w:tc>
          <w:tcPr>
            <w:tcW w:w="200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&gt; 10%</w:t>
            </w:r>
          </w:p>
        </w:tc>
        <w:tc>
          <w:tcPr>
            <w:tcW w:w="20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0% – 10%</w:t>
            </w:r>
          </w:p>
        </w:tc>
        <w:tc>
          <w:tcPr>
            <w:tcW w:w="14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&lt; 0%</w:t>
            </w:r>
          </w:p>
        </w:tc>
        <w:tc>
          <w:tcPr>
            <w:tcW w:w="146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ACCEPTABIL</w:t>
            </w:r>
          </w:p>
        </w:tc>
      </w:tr>
      <w:tr>
        <w:trPr/>
        <w:tc>
          <w:tcPr>
            <w:tcW w:w="23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Rata rent. economice (ROA)</w:t>
            </w:r>
          </w:p>
        </w:tc>
        <w:tc>
          <w:tcPr>
            <w:tcW w:w="200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&gt; 10%</w:t>
            </w:r>
          </w:p>
        </w:tc>
        <w:tc>
          <w:tcPr>
            <w:tcW w:w="20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0% – 10%</w:t>
            </w:r>
          </w:p>
        </w:tc>
        <w:tc>
          <w:tcPr>
            <w:tcW w:w="14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&lt; 0%</w:t>
            </w:r>
          </w:p>
        </w:tc>
        <w:tc>
          <w:tcPr>
            <w:tcW w:w="146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ACCEPTABIL</w:t>
            </w:r>
          </w:p>
        </w:tc>
      </w:tr>
      <w:tr>
        <w:trPr/>
        <w:tc>
          <w:tcPr>
            <w:tcW w:w="23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Rata rent. financiare (ROE)</w:t>
            </w:r>
          </w:p>
        </w:tc>
        <w:tc>
          <w:tcPr>
            <w:tcW w:w="200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&gt; 20%</w:t>
            </w:r>
          </w:p>
        </w:tc>
        <w:tc>
          <w:tcPr>
            <w:tcW w:w="20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10% – 20%</w:t>
            </w:r>
          </w:p>
        </w:tc>
        <w:tc>
          <w:tcPr>
            <w:tcW w:w="14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&lt; 10%</w:t>
            </w:r>
          </w:p>
        </w:tc>
        <w:tc>
          <w:tcPr>
            <w:tcW w:w="146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ACCEPTABIL</w:t>
            </w:r>
          </w:p>
        </w:tc>
      </w:tr>
      <w:tr>
        <w:trPr/>
        <w:tc>
          <w:tcPr>
            <w:tcW w:w="23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Marja netă a profitului (MNP)</w:t>
            </w:r>
          </w:p>
        </w:tc>
        <w:tc>
          <w:tcPr>
            <w:tcW w:w="200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&gt; 5%</w:t>
            </w:r>
          </w:p>
        </w:tc>
        <w:tc>
          <w:tcPr>
            <w:tcW w:w="20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0% – 5%</w:t>
            </w:r>
          </w:p>
        </w:tc>
        <w:tc>
          <w:tcPr>
            <w:tcW w:w="14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&lt; 0%</w:t>
            </w:r>
          </w:p>
        </w:tc>
        <w:tc>
          <w:tcPr>
            <w:tcW w:w="146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ACCEPTABIL</w:t>
            </w:r>
          </w:p>
        </w:tc>
      </w:tr>
      <w:tr>
        <w:trPr/>
        <w:tc>
          <w:tcPr>
            <w:tcW w:w="23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Rata chelt. exploatare (RCE)</w:t>
            </w:r>
          </w:p>
        </w:tc>
        <w:tc>
          <w:tcPr>
            <w:tcW w:w="200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&lt; 95%</w:t>
            </w:r>
          </w:p>
        </w:tc>
        <w:tc>
          <w:tcPr>
            <w:tcW w:w="20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95% – 100%</w:t>
            </w:r>
          </w:p>
        </w:tc>
        <w:tc>
          <w:tcPr>
            <w:tcW w:w="14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&gt; 100%</w:t>
            </w:r>
          </w:p>
        </w:tc>
        <w:tc>
          <w:tcPr>
            <w:tcW w:w="146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ACCEPTABIL</w:t>
            </w:r>
          </w:p>
        </w:tc>
      </w:tr>
      <w:tr>
        <w:trPr/>
        <w:tc>
          <w:tcPr>
            <w:tcW w:w="23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Pond. chelt. personal (PCP)</w:t>
            </w:r>
          </w:p>
        </w:tc>
        <w:tc>
          <w:tcPr>
            <w:tcW w:w="200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&lt; 25%</w:t>
            </w:r>
          </w:p>
        </w:tc>
        <w:tc>
          <w:tcPr>
            <w:tcW w:w="20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25% – 35%</w:t>
            </w:r>
          </w:p>
        </w:tc>
        <w:tc>
          <w:tcPr>
            <w:tcW w:w="14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&gt; 35%</w:t>
            </w:r>
          </w:p>
        </w:tc>
        <w:tc>
          <w:tcPr>
            <w:tcW w:w="146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ACCEPTABIL</w:t>
            </w:r>
          </w:p>
        </w:tc>
      </w:tr>
      <w:tr>
        <w:trPr/>
        <w:tc>
          <w:tcPr>
            <w:tcW w:w="23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Lichiditate curentă (LC)</w:t>
            </w:r>
          </w:p>
        </w:tc>
        <w:tc>
          <w:tcPr>
            <w:tcW w:w="200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&gt; 1,2</w:t>
            </w:r>
          </w:p>
        </w:tc>
        <w:tc>
          <w:tcPr>
            <w:tcW w:w="20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1,0 – 1,2</w:t>
            </w:r>
          </w:p>
        </w:tc>
        <w:tc>
          <w:tcPr>
            <w:tcW w:w="14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&lt; 1,0</w:t>
            </w:r>
          </w:p>
        </w:tc>
        <w:tc>
          <w:tcPr>
            <w:tcW w:w="146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DEFICITAR</w:t>
            </w:r>
          </w:p>
        </w:tc>
      </w:tr>
      <w:tr>
        <w:trPr/>
        <w:tc>
          <w:tcPr>
            <w:tcW w:w="23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Lichiditate rapidă (LR)</w:t>
            </w:r>
          </w:p>
        </w:tc>
        <w:tc>
          <w:tcPr>
            <w:tcW w:w="200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&gt; 1,0</w:t>
            </w:r>
          </w:p>
        </w:tc>
        <w:tc>
          <w:tcPr>
            <w:tcW w:w="20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0,8 – 1,0</w:t>
            </w:r>
          </w:p>
        </w:tc>
        <w:tc>
          <w:tcPr>
            <w:tcW w:w="14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&lt; 0,8</w:t>
            </w:r>
          </w:p>
        </w:tc>
        <w:tc>
          <w:tcPr>
            <w:tcW w:w="146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DEFICITAR</w:t>
            </w:r>
          </w:p>
        </w:tc>
      </w:tr>
      <w:tr>
        <w:trPr/>
        <w:tc>
          <w:tcPr>
            <w:tcW w:w="23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Lichiditate imediată (LI)</w:t>
            </w:r>
          </w:p>
        </w:tc>
        <w:tc>
          <w:tcPr>
            <w:tcW w:w="200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&gt; 0,5</w:t>
            </w:r>
          </w:p>
        </w:tc>
        <w:tc>
          <w:tcPr>
            <w:tcW w:w="20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0,2 – 0,5</w:t>
            </w:r>
          </w:p>
        </w:tc>
        <w:tc>
          <w:tcPr>
            <w:tcW w:w="14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&lt; 0,2</w:t>
            </w:r>
          </w:p>
        </w:tc>
        <w:tc>
          <w:tcPr>
            <w:tcW w:w="146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DEFICITAR</w:t>
            </w:r>
          </w:p>
        </w:tc>
      </w:tr>
      <w:tr>
        <w:trPr/>
        <w:tc>
          <w:tcPr>
            <w:tcW w:w="23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Solvabilitate generală (SG)</w:t>
            </w:r>
          </w:p>
        </w:tc>
        <w:tc>
          <w:tcPr>
            <w:tcW w:w="200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&gt; 200%</w:t>
            </w:r>
          </w:p>
        </w:tc>
        <w:tc>
          <w:tcPr>
            <w:tcW w:w="20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100% – 200%</w:t>
            </w:r>
          </w:p>
        </w:tc>
        <w:tc>
          <w:tcPr>
            <w:tcW w:w="14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&lt; 100%</w:t>
            </w:r>
          </w:p>
        </w:tc>
        <w:tc>
          <w:tcPr>
            <w:tcW w:w="146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ACCEPTABIL</w:t>
            </w:r>
          </w:p>
        </w:tc>
      </w:tr>
      <w:tr>
        <w:trPr/>
        <w:tc>
          <w:tcPr>
            <w:tcW w:w="23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Grad de îndatorare (GI)</w:t>
            </w:r>
          </w:p>
        </w:tc>
        <w:tc>
          <w:tcPr>
            <w:tcW w:w="200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&lt; 40%</w:t>
            </w:r>
          </w:p>
        </w:tc>
        <w:tc>
          <w:tcPr>
            <w:tcW w:w="20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40% – 60%</w:t>
            </w:r>
          </w:p>
        </w:tc>
        <w:tc>
          <w:tcPr>
            <w:tcW w:w="14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&gt; 60%</w:t>
            </w:r>
          </w:p>
        </w:tc>
        <w:tc>
          <w:tcPr>
            <w:tcW w:w="146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ACCEPTABIL</w:t>
            </w:r>
          </w:p>
        </w:tc>
      </w:tr>
      <w:tr>
        <w:trPr/>
        <w:tc>
          <w:tcPr>
            <w:tcW w:w="23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Autonomie financiară (AF)</w:t>
            </w:r>
          </w:p>
        </w:tc>
        <w:tc>
          <w:tcPr>
            <w:tcW w:w="200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&gt; 60%</w:t>
            </w:r>
          </w:p>
        </w:tc>
        <w:tc>
          <w:tcPr>
            <w:tcW w:w="20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40% – 60%</w:t>
            </w:r>
          </w:p>
        </w:tc>
        <w:tc>
          <w:tcPr>
            <w:tcW w:w="14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&lt; 40%</w:t>
            </w:r>
          </w:p>
        </w:tc>
        <w:tc>
          <w:tcPr>
            <w:tcW w:w="146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ACCEPTABIL</w:t>
            </w:r>
          </w:p>
        </w:tc>
      </w:tr>
      <w:tr>
        <w:trPr/>
        <w:tc>
          <w:tcPr>
            <w:tcW w:w="23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Viteza rotație creanțe (VRC)</w:t>
            </w:r>
          </w:p>
        </w:tc>
        <w:tc>
          <w:tcPr>
            <w:tcW w:w="200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&gt; 12 rot.</w:t>
            </w:r>
          </w:p>
        </w:tc>
        <w:tc>
          <w:tcPr>
            <w:tcW w:w="20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6 – 12 rot.</w:t>
            </w:r>
          </w:p>
        </w:tc>
        <w:tc>
          <w:tcPr>
            <w:tcW w:w="14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&lt; 6 rot.</w:t>
            </w:r>
          </w:p>
        </w:tc>
        <w:tc>
          <w:tcPr>
            <w:tcW w:w="146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OPTIM</w:t>
            </w:r>
          </w:p>
        </w:tc>
      </w:tr>
      <w:tr>
        <w:trPr/>
        <w:tc>
          <w:tcPr>
            <w:tcW w:w="23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Durata încasare creanțe (DIC)</w:t>
            </w:r>
          </w:p>
        </w:tc>
        <w:tc>
          <w:tcPr>
            <w:tcW w:w="200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&lt; 30 zile</w:t>
            </w:r>
          </w:p>
        </w:tc>
        <w:tc>
          <w:tcPr>
            <w:tcW w:w="20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30 – 60 zile</w:t>
            </w:r>
          </w:p>
        </w:tc>
        <w:tc>
          <w:tcPr>
            <w:tcW w:w="14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&gt; 60 zile</w:t>
            </w:r>
          </w:p>
        </w:tc>
        <w:tc>
          <w:tcPr>
            <w:tcW w:w="146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OPTIM</w:t>
            </w:r>
          </w:p>
        </w:tc>
      </w:tr>
      <w:tr>
        <w:trPr/>
        <w:tc>
          <w:tcPr>
            <w:tcW w:w="23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Viteza rotație stocuri (VRS)</w:t>
            </w:r>
          </w:p>
        </w:tc>
        <w:tc>
          <w:tcPr>
            <w:tcW w:w="200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&gt; 24 rot.</w:t>
            </w:r>
          </w:p>
        </w:tc>
        <w:tc>
          <w:tcPr>
            <w:tcW w:w="20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12 – 24 rot.</w:t>
            </w:r>
          </w:p>
        </w:tc>
        <w:tc>
          <w:tcPr>
            <w:tcW w:w="14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&lt; 12 rot.</w:t>
            </w:r>
          </w:p>
        </w:tc>
        <w:tc>
          <w:tcPr>
            <w:tcW w:w="146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DEFICITAR</w:t>
            </w:r>
          </w:p>
        </w:tc>
      </w:tr>
      <w:tr>
        <w:trPr/>
        <w:tc>
          <w:tcPr>
            <w:tcW w:w="23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Viteza rotație active (VRA)</w:t>
            </w:r>
          </w:p>
        </w:tc>
        <w:tc>
          <w:tcPr>
            <w:tcW w:w="200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&gt; 1,5 rot.</w:t>
            </w:r>
          </w:p>
        </w:tc>
        <w:tc>
          <w:tcPr>
            <w:tcW w:w="20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1 – 1,5 rot.</w:t>
            </w:r>
          </w:p>
        </w:tc>
        <w:tc>
          <w:tcPr>
            <w:tcW w:w="14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&lt; 1 rot.</w:t>
            </w:r>
          </w:p>
        </w:tc>
        <w:tc>
          <w:tcPr>
            <w:tcW w:w="146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OPTIM</w:t>
            </w:r>
          </w:p>
        </w:tc>
      </w:tr>
      <w:tr>
        <w:trPr/>
        <w:tc>
          <w:tcPr>
            <w:tcW w:w="23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Fond de rulment (FR)</w:t>
            </w:r>
          </w:p>
        </w:tc>
        <w:tc>
          <w:tcPr>
            <w:tcW w:w="200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Pozitiv</w:t>
            </w:r>
          </w:p>
        </w:tc>
        <w:tc>
          <w:tcPr>
            <w:tcW w:w="20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p>
        </w:tc>
        <w:tc>
          <w:tcPr>
            <w:tcW w:w="14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Negativ</w:t>
            </w:r>
          </w:p>
        </w:tc>
        <w:tc>
          <w:tcPr>
            <w:tcW w:w="146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DEFICITAR</w:t>
            </w:r>
          </w:p>
        </w:tc>
      </w:tr>
      <w:tr>
        <w:trPr/>
        <w:tc>
          <w:tcPr>
            <w:tcW w:w="23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Trezorerie netă (TN)</w:t>
            </w:r>
          </w:p>
        </w:tc>
        <w:tc>
          <w:tcPr>
            <w:tcW w:w="200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Pozitivă</w:t>
            </w:r>
          </w:p>
        </w:tc>
        <w:tc>
          <w:tcPr>
            <w:tcW w:w="20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p>
        </w:tc>
        <w:tc>
          <w:tcPr>
            <w:tcW w:w="14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Negativă</w:t>
            </w:r>
          </w:p>
        </w:tc>
        <w:tc>
          <w:tcPr>
            <w:tcW w:w="146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OPTIM</w:t>
            </w:r>
          </w:p>
        </w:tc>
      </w:tr>
      <w:tr>
        <w:trPr/>
        <w:tc>
          <w:tcPr>
            <w:tcW w:w="23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Durata achitare datorii (DAD)</w:t>
            </w:r>
          </w:p>
        </w:tc>
        <w:tc>
          <w:tcPr>
            <w:tcW w:w="200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&lt; 90 zile</w:t>
            </w:r>
          </w:p>
        </w:tc>
        <w:tc>
          <w:tcPr>
            <w:tcW w:w="20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90 – 180 zile</w:t>
            </w:r>
          </w:p>
        </w:tc>
        <w:tc>
          <w:tcPr>
            <w:tcW w:w="14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&gt; 180 zile</w:t>
            </w:r>
          </w:p>
        </w:tc>
        <w:tc>
          <w:tcPr>
            <w:tcW w:w="146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ACCEPTABIL</w:t>
            </w:r>
          </w:p>
        </w:tc>
      </w:tr>
    </w:tbl>
    <w:p>
      <w:pPr>
        <w:pStyle w:val="Normal"/>
        <w:spacing w:before="80" w:after="200"/>
        <w:jc w:val="start"/>
        <w:rPr/>
      </w:pPr>
      <w:r>
        <w:rPr>
          <w:rFonts w:eastAsia="Times New Roman" w:cs="Times New Roman"/>
          <w:sz w:val="18"/>
          <w:szCs w:val="18"/>
        </w:rPr>
        <w:t>Tabelul 4.7. Matricea de performanță – praguri valorice și diagnostice pentru exercițiul 2025. Sursa: Calibrare proprie pe baza literaturii de specialitate.</w:t>
      </w:r>
    </w:p>
    <w:p>
      <w:pPr>
        <w:pStyle w:val="Normal"/>
        <w:spacing w:before="60" w:after="60"/>
        <w:rPr/>
      </w:pPr>
      <w:r>
        <w:rPr/>
      </w:r>
    </w:p>
    <w:p>
      <w:pPr>
        <w:pStyle w:val="Heading2"/>
        <w:spacing w:before="280" w:after="160"/>
        <w:jc w:val="start"/>
        <w:rPr/>
      </w:pPr>
      <w:r>
        <w:rPr>
          <w:rFonts w:eastAsia="Times New Roman" w:cs="Times New Roman" w:ascii="Times New Roman" w:hAnsi="Times New Roman"/>
          <w:b/>
          <w:bCs/>
          <w:sz w:val="26"/>
          <w:szCs w:val="26"/>
        </w:rPr>
        <w:t>4.7. Rapoartele de analiză și sistemul de formatare condiționată</w:t>
      </w:r>
    </w:p>
    <w:p>
      <w:pPr>
        <w:pStyle w:val="Normal"/>
        <w:spacing w:lineRule="auto" w:line="300" w:before="100" w:after="100"/>
        <w:ind w:firstLine="720"/>
        <w:rPr/>
      </w:pPr>
      <w:r>
        <w:rPr>
          <w:rFonts w:eastAsia="Times New Roman" w:cs="Times New Roman"/>
          <w:b w:val="false"/>
          <w:bCs w:val="false"/>
          <w:sz w:val="24"/>
          <w:szCs w:val="24"/>
        </w:rPr>
        <w:t>Rapoartele (Reports) reprezintă interfața de ieșire a aplicației, concepute pentru a prezenta rezultatele calculelor într-un format vizual, intuitiv și rapid de interpretat. Microsoft Access permite atribuirea regulilor de formatare condiționată (Conditional Formatting) câmpurilor din rapoarte, modificând automat culoarea de fundal sau a textului în funcție de valoarea calificativului generat de funcțiile IIf.</w:t>
      </w:r>
    </w:p>
    <w:p>
      <w:pPr>
        <w:pStyle w:val="Normal"/>
        <w:spacing w:before="60" w:after="60"/>
        <w:rPr/>
      </w:pPr>
      <w:r>
        <w:rPr/>
      </w:r>
    </w:p>
    <w:tbl>
      <w:tblPr>
        <w:tblW w:w="9360" w:type="dxa"/>
        <w:jc w:val="start"/>
        <w:tblInd w:w="0" w:type="dxa"/>
        <w:tblLayout w:type="fixed"/>
        <w:tblCellMar>
          <w:top w:w="70" w:type="dxa"/>
          <w:start w:w="100" w:type="dxa"/>
          <w:bottom w:w="70" w:type="dxa"/>
          <w:end w:w="100" w:type="dxa"/>
        </w:tblCellMar>
      </w:tblPr>
      <w:tblGrid>
        <w:gridCol w:w="2799"/>
        <w:gridCol w:w="1601"/>
        <w:gridCol w:w="4960"/>
      </w:tblGrid>
      <w:tr>
        <w:trPr/>
        <w:tc>
          <w:tcPr>
            <w:tcW w:w="2799"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Calificativ</w:t>
            </w:r>
          </w:p>
        </w:tc>
        <w:tc>
          <w:tcPr>
            <w:tcW w:w="1601"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Culoare (cod hex)</w:t>
            </w:r>
          </w:p>
        </w:tc>
        <w:tc>
          <w:tcPr>
            <w:tcW w:w="4960"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Semnificație managerială</w:t>
            </w:r>
          </w:p>
        </w:tc>
      </w:tr>
      <w:tr>
        <w:trPr/>
        <w:tc>
          <w:tcPr>
            <w:tcW w:w="2799" w:type="dxa"/>
            <w:tcBorders>
              <w:top w:val="single" w:sz="2" w:space="0" w:color="888888"/>
              <w:start w:val="single" w:sz="2" w:space="0" w:color="888888"/>
              <w:bottom w:val="single" w:sz="2" w:space="0" w:color="888888"/>
              <w:end w:val="single" w:sz="2" w:space="0" w:color="888888"/>
            </w:tcBorders>
            <w:shd w:fill="C6EFCE" w:val="clear"/>
            <w:vAlign w:val="center"/>
          </w:tcPr>
          <w:p>
            <w:pPr>
              <w:pStyle w:val="Normal"/>
              <w:jc w:val="center"/>
              <w:rPr/>
            </w:pPr>
            <w:r>
              <w:rPr>
                <w:rFonts w:eastAsia="Times New Roman" w:cs="Times New Roman"/>
                <w:b/>
                <w:bCs/>
                <w:sz w:val="20"/>
                <w:szCs w:val="20"/>
              </w:rPr>
              <w:t>OPTIM</w:t>
            </w:r>
          </w:p>
        </w:tc>
        <w:tc>
          <w:tcPr>
            <w:tcW w:w="160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Verde (#C6EFCE)</w:t>
            </w:r>
          </w:p>
        </w:tc>
        <w:tc>
          <w:tcPr>
            <w:tcW w:w="496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Performanță la nivel optim – nu necesită intervenție imediată</w:t>
            </w:r>
          </w:p>
        </w:tc>
      </w:tr>
      <w:tr>
        <w:trPr/>
        <w:tc>
          <w:tcPr>
            <w:tcW w:w="2799" w:type="dxa"/>
            <w:tcBorders>
              <w:top w:val="single" w:sz="2" w:space="0" w:color="888888"/>
              <w:start w:val="single" w:sz="2" w:space="0" w:color="888888"/>
              <w:bottom w:val="single" w:sz="2" w:space="0" w:color="888888"/>
              <w:end w:val="single" w:sz="2" w:space="0" w:color="888888"/>
            </w:tcBorders>
            <w:shd w:fill="FFF2CC" w:val="clear"/>
            <w:vAlign w:val="center"/>
          </w:tcPr>
          <w:p>
            <w:pPr>
              <w:pStyle w:val="Normal"/>
              <w:jc w:val="center"/>
              <w:rPr/>
            </w:pPr>
            <w:r>
              <w:rPr>
                <w:rFonts w:eastAsia="Times New Roman" w:cs="Times New Roman"/>
                <w:b/>
                <w:bCs/>
                <w:sz w:val="20"/>
                <w:szCs w:val="20"/>
              </w:rPr>
              <w:t>ACCEPTABIL</w:t>
            </w:r>
          </w:p>
        </w:tc>
        <w:tc>
          <w:tcPr>
            <w:tcW w:w="160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Galben (#FFF2CC)</w:t>
            </w:r>
          </w:p>
        </w:tc>
        <w:tc>
          <w:tcPr>
            <w:tcW w:w="496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Zona de funcționare normală – monitorizare periodică recomandată</w:t>
            </w:r>
          </w:p>
        </w:tc>
      </w:tr>
      <w:tr>
        <w:trPr/>
        <w:tc>
          <w:tcPr>
            <w:tcW w:w="2799" w:type="dxa"/>
            <w:tcBorders>
              <w:top w:val="single" w:sz="2" w:space="0" w:color="888888"/>
              <w:start w:val="single" w:sz="2" w:space="0" w:color="888888"/>
              <w:bottom w:val="single" w:sz="2" w:space="0" w:color="888888"/>
              <w:end w:val="single" w:sz="2" w:space="0" w:color="888888"/>
            </w:tcBorders>
            <w:shd w:fill="FFCCCC" w:val="clear"/>
            <w:vAlign w:val="center"/>
          </w:tcPr>
          <w:p>
            <w:pPr>
              <w:pStyle w:val="Normal"/>
              <w:jc w:val="center"/>
              <w:rPr/>
            </w:pPr>
            <w:r>
              <w:rPr>
                <w:rFonts w:eastAsia="Times New Roman" w:cs="Times New Roman"/>
                <w:b/>
                <w:bCs/>
                <w:sz w:val="20"/>
                <w:szCs w:val="20"/>
              </w:rPr>
              <w:t>DEFICITAR</w:t>
            </w:r>
          </w:p>
        </w:tc>
        <w:tc>
          <w:tcPr>
            <w:tcW w:w="160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Roșu (#FFCCCC)</w:t>
            </w:r>
          </w:p>
        </w:tc>
        <w:tc>
          <w:tcPr>
            <w:tcW w:w="496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Risc identificat – intervenție managerială necesară în regim prioritar</w:t>
            </w:r>
          </w:p>
        </w:tc>
      </w:tr>
    </w:tbl>
    <w:p>
      <w:pPr>
        <w:pStyle w:val="Normal"/>
        <w:spacing w:before="80" w:after="200"/>
        <w:jc w:val="start"/>
        <w:rPr/>
      </w:pPr>
      <w:r>
        <w:rPr>
          <w:rFonts w:eastAsia="Times New Roman" w:cs="Times New Roman"/>
          <w:sz w:val="18"/>
          <w:szCs w:val="18"/>
        </w:rPr>
        <w:t>Tabelul 4.8. Sistemul de codificare vizuală (semafor) utilizat în rapoartele aplicației. Sursa: Proiectare proprie.</w:t>
      </w:r>
    </w:p>
    <w:p>
      <w:pPr>
        <w:pStyle w:val="Normal"/>
        <w:spacing w:before="60" w:after="60"/>
        <w:rPr/>
      </w:pPr>
      <w:r>
        <w:rPr/>
      </w:r>
    </w:p>
    <w:p>
      <w:pPr>
        <w:pStyle w:val="Normal"/>
        <w:spacing w:lineRule="auto" w:line="300" w:before="100" w:after="100"/>
        <w:ind w:firstLine="720"/>
        <w:rPr/>
      </w:pPr>
      <w:r>
        <w:rPr>
          <w:rFonts w:eastAsia="Times New Roman" w:cs="Times New Roman"/>
          <w:b w:val="false"/>
          <w:bCs w:val="false"/>
          <w:sz w:val="24"/>
          <w:szCs w:val="24"/>
        </w:rPr>
        <w:t>Aplicația conține trei rapoarte principale, câte unul pentru fiecare categorie de indicatori, plus un raport de sinteză (dashboard) care centralizează distribuția diagnosticelor pe categorii. Fiecare raport include, pe lângă tabelul cu indicatori și calificative colorate, un grafic de tip Modern Charts care vizualizează evoluția celor mai relevanți indicatori din categorie între 2024 și 2025.</w:t>
      </w:r>
    </w:p>
    <w:p>
      <w:pPr>
        <w:pStyle w:val="Normal"/>
        <w:spacing w:lineRule="auto" w:line="300" w:before="100" w:after="100"/>
        <w:ind w:firstLine="720"/>
        <w:rPr/>
      </w:pPr>
      <w:r>
        <w:rPr>
          <w:rFonts w:eastAsia="Times New Roman" w:cs="Times New Roman"/>
          <w:b w:val="false"/>
          <w:bCs w:val="false"/>
          <w:sz w:val="24"/>
          <w:szCs w:val="24"/>
        </w:rPr>
        <w:t>Accesul la rapoarte se realizează prin interfața de navigare (Switchboard), un formular principal care grupează butoanele de comandă pe sectoare tematice. Utilizatorul accesează orice raport cu un singur clic, fără cunoașterea structurii tehnice a bazei de date.</w:t>
      </w:r>
    </w:p>
    <w:p>
      <w:pPr>
        <w:pStyle w:val="Normal"/>
        <w:spacing w:before="60" w:after="60"/>
        <w:rPr/>
      </w:pPr>
      <w:r>
        <w:rPr/>
      </w:r>
    </w:p>
    <w:p>
      <w:pPr>
        <w:pStyle w:val="Heading2"/>
        <w:spacing w:before="280" w:after="160"/>
        <w:jc w:val="start"/>
        <w:rPr/>
      </w:pPr>
      <w:r>
        <w:rPr>
          <w:rFonts w:eastAsia="Times New Roman" w:cs="Times New Roman" w:ascii="Times New Roman" w:hAnsi="Times New Roman"/>
          <w:b/>
          <w:bCs/>
          <w:sz w:val="26"/>
          <w:szCs w:val="26"/>
        </w:rPr>
        <w:t>4.8. Tabloul de bord final – distribuția diagnosticelor</w:t>
      </w:r>
    </w:p>
    <w:p>
      <w:pPr>
        <w:pStyle w:val="Normal"/>
        <w:spacing w:lineRule="auto" w:line="300" w:before="100" w:after="100"/>
        <w:ind w:firstLine="720"/>
        <w:rPr/>
      </w:pPr>
      <w:r>
        <w:rPr>
          <w:rFonts w:eastAsia="Times New Roman" w:cs="Times New Roman"/>
          <w:b w:val="false"/>
          <w:bCs w:val="false"/>
          <w:sz w:val="24"/>
          <w:szCs w:val="24"/>
        </w:rPr>
        <w:t>Raportul de sinteză centralizează distribuția celor 19 diagnostice generate de aplicație pentru exercițiul financiar 2025, oferind o imagine globală asupra situației financiare a entității.</w:t>
      </w:r>
    </w:p>
    <w:p>
      <w:pPr>
        <w:pStyle w:val="Normal"/>
        <w:spacing w:before="60" w:after="60"/>
        <w:rPr/>
      </w:pPr>
      <w:r>
        <w:rPr/>
      </w:r>
    </w:p>
    <w:tbl>
      <w:tblPr>
        <w:tblW w:w="9360" w:type="dxa"/>
        <w:jc w:val="start"/>
        <w:tblInd w:w="0" w:type="dxa"/>
        <w:tblLayout w:type="fixed"/>
        <w:tblCellMar>
          <w:top w:w="70" w:type="dxa"/>
          <w:start w:w="100" w:type="dxa"/>
          <w:bottom w:w="70" w:type="dxa"/>
          <w:end w:w="100" w:type="dxa"/>
        </w:tblCellMar>
      </w:tblPr>
      <w:tblGrid>
        <w:gridCol w:w="3200"/>
        <w:gridCol w:w="1439"/>
        <w:gridCol w:w="1441"/>
        <w:gridCol w:w="1439"/>
        <w:gridCol w:w="1841"/>
      </w:tblGrid>
      <w:tr>
        <w:trPr/>
        <w:tc>
          <w:tcPr>
            <w:tcW w:w="3200"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Categorie de analiză</w:t>
            </w:r>
          </w:p>
        </w:tc>
        <w:tc>
          <w:tcPr>
            <w:tcW w:w="1439"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Nr. indic.</w:t>
            </w:r>
          </w:p>
        </w:tc>
        <w:tc>
          <w:tcPr>
            <w:tcW w:w="1441" w:type="dxa"/>
            <w:tcBorders>
              <w:top w:val="single" w:sz="2" w:space="0" w:color="888888"/>
              <w:start w:val="single" w:sz="2" w:space="0" w:color="888888"/>
              <w:bottom w:val="single" w:sz="2" w:space="0" w:color="888888"/>
              <w:end w:val="single" w:sz="2" w:space="0" w:color="888888"/>
            </w:tcBorders>
            <w:shd w:fill="C6EFCE" w:val="clear"/>
            <w:vAlign w:val="center"/>
          </w:tcPr>
          <w:p>
            <w:pPr>
              <w:pStyle w:val="Normal"/>
              <w:jc w:val="center"/>
              <w:rPr/>
            </w:pPr>
            <w:r>
              <w:rPr>
                <w:rFonts w:eastAsia="Times New Roman" w:cs="Times New Roman"/>
                <w:b/>
                <w:bCs/>
                <w:sz w:val="20"/>
                <w:szCs w:val="20"/>
              </w:rPr>
              <w:t>OPTIM</w:t>
            </w:r>
          </w:p>
        </w:tc>
        <w:tc>
          <w:tcPr>
            <w:tcW w:w="1439" w:type="dxa"/>
            <w:tcBorders>
              <w:top w:val="single" w:sz="2" w:space="0" w:color="888888"/>
              <w:start w:val="single" w:sz="2" w:space="0" w:color="888888"/>
              <w:bottom w:val="single" w:sz="2" w:space="0" w:color="888888"/>
              <w:end w:val="single" w:sz="2" w:space="0" w:color="888888"/>
            </w:tcBorders>
            <w:shd w:fill="FFF2CC" w:val="clear"/>
            <w:vAlign w:val="center"/>
          </w:tcPr>
          <w:p>
            <w:pPr>
              <w:pStyle w:val="Normal"/>
              <w:jc w:val="center"/>
              <w:rPr/>
            </w:pPr>
            <w:r>
              <w:rPr>
                <w:rFonts w:eastAsia="Times New Roman" w:cs="Times New Roman"/>
                <w:b/>
                <w:bCs/>
                <w:sz w:val="20"/>
                <w:szCs w:val="20"/>
              </w:rPr>
              <w:t>ACCEPTABIL</w:t>
            </w:r>
          </w:p>
        </w:tc>
        <w:tc>
          <w:tcPr>
            <w:tcW w:w="1841" w:type="dxa"/>
            <w:tcBorders>
              <w:top w:val="single" w:sz="2" w:space="0" w:color="888888"/>
              <w:start w:val="single" w:sz="2" w:space="0" w:color="888888"/>
              <w:bottom w:val="single" w:sz="2" w:space="0" w:color="888888"/>
              <w:end w:val="single" w:sz="2" w:space="0" w:color="888888"/>
            </w:tcBorders>
            <w:shd w:fill="FFCCCC" w:val="clear"/>
            <w:vAlign w:val="center"/>
          </w:tcPr>
          <w:p>
            <w:pPr>
              <w:pStyle w:val="Normal"/>
              <w:jc w:val="center"/>
              <w:rPr/>
            </w:pPr>
            <w:r>
              <w:rPr>
                <w:rFonts w:eastAsia="Times New Roman" w:cs="Times New Roman"/>
                <w:b/>
                <w:bCs/>
                <w:sz w:val="20"/>
                <w:szCs w:val="20"/>
              </w:rPr>
              <w:t>DEFICITAR</w:t>
            </w:r>
          </w:p>
        </w:tc>
      </w:tr>
      <w:tr>
        <w:trPr/>
        <w:tc>
          <w:tcPr>
            <w:tcW w:w="32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Rentabilitate (6 indicatori)</w:t>
            </w:r>
          </w:p>
        </w:tc>
        <w:tc>
          <w:tcPr>
            <w:tcW w:w="143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6</w:t>
            </w:r>
          </w:p>
        </w:tc>
        <w:tc>
          <w:tcPr>
            <w:tcW w:w="144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0</w:t>
            </w:r>
          </w:p>
        </w:tc>
        <w:tc>
          <w:tcPr>
            <w:tcW w:w="143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6</w:t>
            </w:r>
          </w:p>
        </w:tc>
        <w:tc>
          <w:tcPr>
            <w:tcW w:w="184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0</w:t>
            </w:r>
          </w:p>
        </w:tc>
      </w:tr>
      <w:tr>
        <w:trPr/>
        <w:tc>
          <w:tcPr>
            <w:tcW w:w="32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Lichiditate și Solvabilitate (6 ind.)</w:t>
            </w:r>
          </w:p>
        </w:tc>
        <w:tc>
          <w:tcPr>
            <w:tcW w:w="143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6</w:t>
            </w:r>
          </w:p>
        </w:tc>
        <w:tc>
          <w:tcPr>
            <w:tcW w:w="144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0</w:t>
            </w:r>
          </w:p>
        </w:tc>
        <w:tc>
          <w:tcPr>
            <w:tcW w:w="143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3</w:t>
            </w:r>
          </w:p>
        </w:tc>
        <w:tc>
          <w:tcPr>
            <w:tcW w:w="184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3</w:t>
            </w:r>
          </w:p>
        </w:tc>
      </w:tr>
      <w:tr>
        <w:trPr/>
        <w:tc>
          <w:tcPr>
            <w:tcW w:w="32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Gestiune și Echilibru Financiar (7 ind.)</w:t>
            </w:r>
          </w:p>
        </w:tc>
        <w:tc>
          <w:tcPr>
            <w:tcW w:w="143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7</w:t>
            </w:r>
          </w:p>
        </w:tc>
        <w:tc>
          <w:tcPr>
            <w:tcW w:w="144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3</w:t>
            </w:r>
          </w:p>
        </w:tc>
        <w:tc>
          <w:tcPr>
            <w:tcW w:w="143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2</w:t>
            </w:r>
          </w:p>
        </w:tc>
        <w:tc>
          <w:tcPr>
            <w:tcW w:w="184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2</w:t>
            </w:r>
          </w:p>
        </w:tc>
      </w:tr>
      <w:tr>
        <w:trPr/>
        <w:tc>
          <w:tcPr>
            <w:tcW w:w="3200"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TOTAL</w:t>
            </w:r>
          </w:p>
        </w:tc>
        <w:tc>
          <w:tcPr>
            <w:tcW w:w="1439"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19</w:t>
            </w:r>
          </w:p>
        </w:tc>
        <w:tc>
          <w:tcPr>
            <w:tcW w:w="1441" w:type="dxa"/>
            <w:tcBorders>
              <w:top w:val="single" w:sz="2" w:space="0" w:color="888888"/>
              <w:start w:val="single" w:sz="2" w:space="0" w:color="888888"/>
              <w:bottom w:val="single" w:sz="2" w:space="0" w:color="888888"/>
              <w:end w:val="single" w:sz="2" w:space="0" w:color="888888"/>
            </w:tcBorders>
            <w:shd w:fill="C6EFCE" w:val="clear"/>
            <w:vAlign w:val="center"/>
          </w:tcPr>
          <w:p>
            <w:pPr>
              <w:pStyle w:val="Normal"/>
              <w:jc w:val="center"/>
              <w:rPr/>
            </w:pPr>
            <w:r>
              <w:rPr>
                <w:rFonts w:eastAsia="Times New Roman" w:cs="Times New Roman"/>
                <w:b/>
                <w:bCs/>
                <w:sz w:val="20"/>
                <w:szCs w:val="20"/>
              </w:rPr>
              <w:t>3 (15,8%)</w:t>
            </w:r>
          </w:p>
        </w:tc>
        <w:tc>
          <w:tcPr>
            <w:tcW w:w="1439" w:type="dxa"/>
            <w:tcBorders>
              <w:top w:val="single" w:sz="2" w:space="0" w:color="888888"/>
              <w:start w:val="single" w:sz="2" w:space="0" w:color="888888"/>
              <w:bottom w:val="single" w:sz="2" w:space="0" w:color="888888"/>
              <w:end w:val="single" w:sz="2" w:space="0" w:color="888888"/>
            </w:tcBorders>
            <w:shd w:fill="FFF2CC" w:val="clear"/>
            <w:vAlign w:val="center"/>
          </w:tcPr>
          <w:p>
            <w:pPr>
              <w:pStyle w:val="Normal"/>
              <w:jc w:val="center"/>
              <w:rPr/>
            </w:pPr>
            <w:r>
              <w:rPr>
                <w:rFonts w:eastAsia="Times New Roman" w:cs="Times New Roman"/>
                <w:b/>
                <w:bCs/>
                <w:sz w:val="20"/>
                <w:szCs w:val="20"/>
              </w:rPr>
              <w:t>11 (57,9%)</w:t>
            </w:r>
          </w:p>
        </w:tc>
        <w:tc>
          <w:tcPr>
            <w:tcW w:w="1841" w:type="dxa"/>
            <w:tcBorders>
              <w:top w:val="single" w:sz="2" w:space="0" w:color="888888"/>
              <w:start w:val="single" w:sz="2" w:space="0" w:color="888888"/>
              <w:bottom w:val="single" w:sz="2" w:space="0" w:color="888888"/>
              <w:end w:val="single" w:sz="2" w:space="0" w:color="888888"/>
            </w:tcBorders>
            <w:shd w:fill="FFCCCC" w:val="clear"/>
            <w:vAlign w:val="center"/>
          </w:tcPr>
          <w:p>
            <w:pPr>
              <w:pStyle w:val="Normal"/>
              <w:jc w:val="center"/>
              <w:rPr/>
            </w:pPr>
            <w:r>
              <w:rPr>
                <w:rFonts w:eastAsia="Times New Roman" w:cs="Times New Roman"/>
                <w:b/>
                <w:bCs/>
                <w:sz w:val="20"/>
                <w:szCs w:val="20"/>
              </w:rPr>
              <w:t>5 (26,3%)</w:t>
            </w:r>
          </w:p>
        </w:tc>
      </w:tr>
    </w:tbl>
    <w:p>
      <w:pPr>
        <w:pStyle w:val="Normal"/>
        <w:spacing w:before="80" w:after="200"/>
        <w:jc w:val="start"/>
        <w:rPr/>
      </w:pPr>
      <w:r>
        <w:rPr>
          <w:rFonts w:eastAsia="Times New Roman" w:cs="Times New Roman"/>
          <w:sz w:val="18"/>
          <w:szCs w:val="18"/>
        </w:rPr>
        <w:t>Tabelul 4.9. Tabloul de bord final – distribuția diagnosticelor, exercițiul financiar 2025. Sursa: Aplicație informatică proprie.</w:t>
      </w:r>
    </w:p>
    <w:p>
      <w:pPr>
        <w:pStyle w:val="Normal"/>
        <w:spacing w:before="60" w:after="60"/>
        <w:rPr/>
      </w:pPr>
      <w:r>
        <w:rPr/>
      </w:r>
    </w:p>
    <w:p>
      <w:pPr>
        <w:pStyle w:val="Normal"/>
        <w:spacing w:lineRule="auto" w:line="300" w:before="100" w:after="100"/>
        <w:ind w:firstLine="720"/>
        <w:rPr/>
      </w:pPr>
      <w:r>
        <w:rPr>
          <w:rFonts w:eastAsia="Times New Roman" w:cs="Times New Roman"/>
          <w:b w:val="false"/>
          <w:bCs w:val="false"/>
          <w:sz w:val="24"/>
          <w:szCs w:val="24"/>
        </w:rPr>
        <w:t>Tabloul de bord confirmă că entitatea se găsește preponderent în zona ACCEPTABIL (57,9% din indicatori), cu un număr limitat de indicatori OPTIM (15,8% – viteza de rotație a creanțelor, trezoreria netă și viteza de rotație a activelor) și cu 5 indicatori DEFICITAR (26,3% – toți indicatorii de lichiditate curentă, rapidă și imediată, fondul de rulment negativ și viteza de rotație a stocurilor). Această distribuție confirmă că redresarea activității este reală, dar capacitatea de plată imediată reprezintă principala zonă de risc care necesită măsuri prioritare.</w:t>
      </w:r>
    </w:p>
    <w:p>
      <w:pPr>
        <w:pStyle w:val="Normal"/>
        <w:spacing w:before="60" w:after="60"/>
        <w:rPr/>
      </w:pPr>
      <w:r>
        <w:rPr/>
      </w:r>
    </w:p>
    <w:p>
      <w:pPr>
        <w:pStyle w:val="Heading2"/>
        <w:spacing w:before="280" w:after="160"/>
        <w:jc w:val="start"/>
        <w:rPr/>
      </w:pPr>
      <w:r>
        <w:rPr>
          <w:rFonts w:eastAsia="Times New Roman" w:cs="Times New Roman" w:ascii="Times New Roman" w:hAnsi="Times New Roman"/>
          <w:b/>
          <w:bCs/>
          <w:sz w:val="26"/>
          <w:szCs w:val="26"/>
        </w:rPr>
        <w:t>4.9. Interfața de navigare – Switchboard</w:t>
      </w:r>
    </w:p>
    <w:p>
      <w:pPr>
        <w:pStyle w:val="Normal"/>
        <w:spacing w:lineRule="auto" w:line="300" w:before="100" w:after="100"/>
        <w:ind w:firstLine="720"/>
        <w:rPr/>
      </w:pPr>
      <w:r>
        <w:rPr>
          <w:rFonts w:eastAsia="Times New Roman" w:cs="Times New Roman"/>
          <w:b w:val="false"/>
          <w:bCs w:val="false"/>
          <w:sz w:val="24"/>
          <w:szCs w:val="24"/>
        </w:rPr>
        <w:t>Interfața de navigare transformă ansamblul tehnic de tabele, interogări și rapoarte într-o aplicație informatică integrată, accesibilă oricărui utilizator fără cunoștințe avansate de Microsoft Access. Elementul central este un formular principal (Navigation Form) care conține butoane de comandă organizate pe sectoare tematice, fiecare buton declanșând o acțiune macro predefinită.</w:t>
      </w:r>
    </w:p>
    <w:p>
      <w:pPr>
        <w:pStyle w:val="Normal"/>
        <w:spacing w:before="60" w:after="60"/>
        <w:rPr/>
      </w:pPr>
      <w:r>
        <w:rPr/>
      </w:r>
    </w:p>
    <w:tbl>
      <w:tblPr>
        <w:tblW w:w="9360" w:type="dxa"/>
        <w:jc w:val="start"/>
        <w:tblInd w:w="0" w:type="dxa"/>
        <w:tblLayout w:type="fixed"/>
        <w:tblCellMar>
          <w:top w:w="70" w:type="dxa"/>
          <w:start w:w="100" w:type="dxa"/>
          <w:bottom w:w="70" w:type="dxa"/>
          <w:end w:w="100" w:type="dxa"/>
        </w:tblCellMar>
      </w:tblPr>
      <w:tblGrid>
        <w:gridCol w:w="1199"/>
        <w:gridCol w:w="3000"/>
        <w:gridCol w:w="2961"/>
        <w:gridCol w:w="2200"/>
      </w:tblGrid>
      <w:tr>
        <w:trPr/>
        <w:tc>
          <w:tcPr>
            <w:tcW w:w="1199"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Nr.</w:t>
            </w:r>
          </w:p>
        </w:tc>
        <w:tc>
          <w:tcPr>
            <w:tcW w:w="3000"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Buton de comandă</w:t>
            </w:r>
          </w:p>
        </w:tc>
        <w:tc>
          <w:tcPr>
            <w:tcW w:w="2961"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Acțiune macro</w:t>
            </w:r>
          </w:p>
        </w:tc>
        <w:tc>
          <w:tcPr>
            <w:tcW w:w="2200" w:type="dxa"/>
            <w:tcBorders>
              <w:top w:val="single" w:sz="2" w:space="0" w:color="888888"/>
              <w:start w:val="single" w:sz="2" w:space="0" w:color="888888"/>
              <w:bottom w:val="single" w:sz="2" w:space="0" w:color="888888"/>
              <w:end w:val="single" w:sz="2" w:space="0" w:color="888888"/>
            </w:tcBorders>
            <w:shd w:fill="D9E1F2" w:val="clear"/>
            <w:vAlign w:val="center"/>
          </w:tcPr>
          <w:p>
            <w:pPr>
              <w:pStyle w:val="Normal"/>
              <w:jc w:val="center"/>
              <w:rPr/>
            </w:pPr>
            <w:r>
              <w:rPr>
                <w:rFonts w:eastAsia="Times New Roman" w:cs="Times New Roman"/>
                <w:b/>
                <w:bCs/>
                <w:sz w:val="20"/>
                <w:szCs w:val="20"/>
              </w:rPr>
              <w:t>Raport vizat</w:t>
            </w:r>
          </w:p>
        </w:tc>
      </w:tr>
      <w:tr>
        <w:trPr/>
        <w:tc>
          <w:tcPr>
            <w:tcW w:w="11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1</w:t>
            </w:r>
          </w:p>
        </w:tc>
        <w:tc>
          <w:tcPr>
            <w:tcW w:w="30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Rentabilitate – Prezentare generală</w:t>
            </w:r>
          </w:p>
        </w:tc>
        <w:tc>
          <w:tcPr>
            <w:tcW w:w="296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OpenReport [Rap_Rentabilitate]</w:t>
            </w:r>
          </w:p>
        </w:tc>
        <w:tc>
          <w:tcPr>
            <w:tcW w:w="22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Rap_Rentabilitate_Generala</w:t>
            </w:r>
          </w:p>
        </w:tc>
      </w:tr>
      <w:tr>
        <w:trPr/>
        <w:tc>
          <w:tcPr>
            <w:tcW w:w="11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2</w:t>
            </w:r>
          </w:p>
        </w:tc>
        <w:tc>
          <w:tcPr>
            <w:tcW w:w="30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ROA și ROE – Randamente</w:t>
            </w:r>
          </w:p>
        </w:tc>
        <w:tc>
          <w:tcPr>
            <w:tcW w:w="296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OpenReport [Rap_ROA_ROE]</w:t>
            </w:r>
          </w:p>
        </w:tc>
        <w:tc>
          <w:tcPr>
            <w:tcW w:w="22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Rap_Randamente_Capital</w:t>
            </w:r>
          </w:p>
        </w:tc>
      </w:tr>
      <w:tr>
        <w:trPr/>
        <w:tc>
          <w:tcPr>
            <w:tcW w:w="11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3</w:t>
            </w:r>
          </w:p>
        </w:tc>
        <w:tc>
          <w:tcPr>
            <w:tcW w:w="30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Cheltuieli – Structură și eficiență</w:t>
            </w:r>
          </w:p>
        </w:tc>
        <w:tc>
          <w:tcPr>
            <w:tcW w:w="296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OpenReport [Rap_Cheltuieli]</w:t>
            </w:r>
          </w:p>
        </w:tc>
        <w:tc>
          <w:tcPr>
            <w:tcW w:w="22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Rap_Structura_Cheltuieli</w:t>
            </w:r>
          </w:p>
        </w:tc>
      </w:tr>
      <w:tr>
        <w:trPr/>
        <w:tc>
          <w:tcPr>
            <w:tcW w:w="11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4</w:t>
            </w:r>
          </w:p>
        </w:tc>
        <w:tc>
          <w:tcPr>
            <w:tcW w:w="30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Lichiditate curentă și rapidă</w:t>
            </w:r>
          </w:p>
        </w:tc>
        <w:tc>
          <w:tcPr>
            <w:tcW w:w="296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OpenReport [Rap_Lichiditate]</w:t>
            </w:r>
          </w:p>
        </w:tc>
        <w:tc>
          <w:tcPr>
            <w:tcW w:w="22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Rap_Lichiditate</w:t>
            </w:r>
          </w:p>
        </w:tc>
      </w:tr>
      <w:tr>
        <w:trPr/>
        <w:tc>
          <w:tcPr>
            <w:tcW w:w="11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5</w:t>
            </w:r>
          </w:p>
        </w:tc>
        <w:tc>
          <w:tcPr>
            <w:tcW w:w="30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Solvabilitate și autonomie fin.</w:t>
            </w:r>
          </w:p>
        </w:tc>
        <w:tc>
          <w:tcPr>
            <w:tcW w:w="296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OpenReport [Rap_Solvabilitate]</w:t>
            </w:r>
          </w:p>
        </w:tc>
        <w:tc>
          <w:tcPr>
            <w:tcW w:w="22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Rap_Solvabilitate</w:t>
            </w:r>
          </w:p>
        </w:tc>
      </w:tr>
      <w:tr>
        <w:trPr/>
        <w:tc>
          <w:tcPr>
            <w:tcW w:w="11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6</w:t>
            </w:r>
          </w:p>
        </w:tc>
        <w:tc>
          <w:tcPr>
            <w:tcW w:w="30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Gestiunea creanțelor</w:t>
            </w:r>
          </w:p>
        </w:tc>
        <w:tc>
          <w:tcPr>
            <w:tcW w:w="296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OpenReport [Rap_Creante]</w:t>
            </w:r>
          </w:p>
        </w:tc>
        <w:tc>
          <w:tcPr>
            <w:tcW w:w="22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Rap_Gestiune_Creante</w:t>
            </w:r>
          </w:p>
        </w:tc>
      </w:tr>
      <w:tr>
        <w:trPr/>
        <w:tc>
          <w:tcPr>
            <w:tcW w:w="11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7</w:t>
            </w:r>
          </w:p>
        </w:tc>
        <w:tc>
          <w:tcPr>
            <w:tcW w:w="30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Gestiunea stocurilor</w:t>
            </w:r>
          </w:p>
        </w:tc>
        <w:tc>
          <w:tcPr>
            <w:tcW w:w="296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OpenReport [Rap_Stocuri]</w:t>
            </w:r>
          </w:p>
        </w:tc>
        <w:tc>
          <w:tcPr>
            <w:tcW w:w="22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Rap_Gestiune_Stocuri</w:t>
            </w:r>
          </w:p>
        </w:tc>
      </w:tr>
      <w:tr>
        <w:trPr/>
        <w:tc>
          <w:tcPr>
            <w:tcW w:w="11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8</w:t>
            </w:r>
          </w:p>
        </w:tc>
        <w:tc>
          <w:tcPr>
            <w:tcW w:w="30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Echilibru financiar (FR, NFR, TN)</w:t>
            </w:r>
          </w:p>
        </w:tc>
        <w:tc>
          <w:tcPr>
            <w:tcW w:w="296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OpenReport [Rap_Echilibru]</w:t>
            </w:r>
          </w:p>
        </w:tc>
        <w:tc>
          <w:tcPr>
            <w:tcW w:w="22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Rap_Echilibru_Fin</w:t>
            </w:r>
          </w:p>
        </w:tc>
      </w:tr>
      <w:tr>
        <w:trPr/>
        <w:tc>
          <w:tcPr>
            <w:tcW w:w="11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9</w:t>
            </w:r>
          </w:p>
        </w:tc>
        <w:tc>
          <w:tcPr>
            <w:tcW w:w="30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Dashboard – Sinteză generală</w:t>
            </w:r>
          </w:p>
        </w:tc>
        <w:tc>
          <w:tcPr>
            <w:tcW w:w="296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OpenReport [Rap_Dashboard]</w:t>
            </w:r>
          </w:p>
        </w:tc>
        <w:tc>
          <w:tcPr>
            <w:tcW w:w="22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Rap_Dashboard_Final</w:t>
            </w:r>
          </w:p>
        </w:tc>
      </w:tr>
      <w:tr>
        <w:trPr/>
        <w:tc>
          <w:tcPr>
            <w:tcW w:w="11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10</w:t>
            </w:r>
          </w:p>
        </w:tc>
        <w:tc>
          <w:tcPr>
            <w:tcW w:w="30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Matrice de performanță</w:t>
            </w:r>
          </w:p>
        </w:tc>
        <w:tc>
          <w:tcPr>
            <w:tcW w:w="296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OpenReport [Rap_Matrice]</w:t>
            </w:r>
          </w:p>
        </w:tc>
        <w:tc>
          <w:tcPr>
            <w:tcW w:w="22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Rap_Matrice_Perf</w:t>
            </w:r>
          </w:p>
        </w:tc>
      </w:tr>
      <w:tr>
        <w:trPr/>
        <w:tc>
          <w:tcPr>
            <w:tcW w:w="11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11</w:t>
            </w:r>
          </w:p>
        </w:tc>
        <w:tc>
          <w:tcPr>
            <w:tcW w:w="30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Actualizare date</w:t>
            </w:r>
          </w:p>
        </w:tc>
        <w:tc>
          <w:tcPr>
            <w:tcW w:w="296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OpenTable [DATE_FINANCIARE]</w:t>
            </w:r>
          </w:p>
        </w:tc>
        <w:tc>
          <w:tcPr>
            <w:tcW w:w="22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DATE_FINANCIARE</w:t>
            </w:r>
          </w:p>
        </w:tc>
      </w:tr>
      <w:tr>
        <w:trPr/>
        <w:tc>
          <w:tcPr>
            <w:tcW w:w="1199"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12</w:t>
            </w:r>
          </w:p>
        </w:tc>
        <w:tc>
          <w:tcPr>
            <w:tcW w:w="30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Ieșire din aplicație</w:t>
            </w:r>
          </w:p>
        </w:tc>
        <w:tc>
          <w:tcPr>
            <w:tcW w:w="2961"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Quit</w:t>
            </w:r>
          </w:p>
        </w:tc>
        <w:tc>
          <w:tcPr>
            <w:tcW w:w="2200" w:type="dxa"/>
            <w:tcBorders>
              <w:top w:val="single" w:sz="2" w:space="0" w:color="888888"/>
              <w:start w:val="single" w:sz="2" w:space="0" w:color="888888"/>
              <w:bottom w:val="single" w:sz="2" w:space="0" w:color="888888"/>
              <w:end w:val="single" w:sz="2" w:space="0" w:color="888888"/>
            </w:tcBorders>
            <w:vAlign w:val="center"/>
          </w:tcPr>
          <w:p>
            <w:pPr>
              <w:pStyle w:val="Normal"/>
              <w:jc w:val="center"/>
              <w:rPr/>
            </w:pPr>
            <w:r>
              <w:rPr>
                <w:rFonts w:eastAsia="Times New Roman" w:cs="Times New Roman"/>
                <w:b w:val="false"/>
                <w:bCs w:val="false"/>
                <w:sz w:val="20"/>
                <w:szCs w:val="20"/>
              </w:rPr>
              <w:t>—</w:t>
            </w:r>
          </w:p>
        </w:tc>
      </w:tr>
    </w:tbl>
    <w:p>
      <w:pPr>
        <w:pStyle w:val="Normal"/>
        <w:spacing w:before="80" w:after="200"/>
        <w:jc w:val="start"/>
        <w:rPr/>
      </w:pPr>
      <w:r>
        <w:rPr>
          <w:rFonts w:eastAsia="Times New Roman" w:cs="Times New Roman"/>
          <w:sz w:val="18"/>
          <w:szCs w:val="18"/>
        </w:rPr>
        <w:t>Tabelul 4.10. Structura interfeței de navigare – butoane, acțiuni macro și rapoartele vizate. Sursa: Proiectare proprie.</w:t>
      </w:r>
    </w:p>
    <w:p>
      <w:pPr>
        <w:pStyle w:val="Normal"/>
        <w:spacing w:before="60" w:after="60"/>
        <w:rPr/>
      </w:pPr>
      <w:r>
        <w:rPr/>
      </w:r>
    </w:p>
    <w:p>
      <w:pPr>
        <w:pStyle w:val="Heading2"/>
        <w:spacing w:before="280" w:after="160"/>
        <w:jc w:val="start"/>
        <w:rPr/>
      </w:pPr>
      <w:r>
        <w:rPr>
          <w:rFonts w:eastAsia="Times New Roman" w:cs="Times New Roman" w:ascii="Times New Roman" w:hAnsi="Times New Roman"/>
          <w:b/>
          <w:bCs/>
          <w:sz w:val="26"/>
          <w:szCs w:val="26"/>
        </w:rPr>
        <w:t>4.10. Concluzii privind sistemul informatic proiectat</w:t>
      </w:r>
    </w:p>
    <w:p>
      <w:pPr>
        <w:pStyle w:val="Normal"/>
        <w:spacing w:lineRule="auto" w:line="300" w:before="100" w:after="100"/>
        <w:ind w:firstLine="720"/>
        <w:rPr/>
      </w:pPr>
      <w:r>
        <w:rPr>
          <w:rFonts w:eastAsia="Times New Roman" w:cs="Times New Roman"/>
          <w:b w:val="false"/>
          <w:bCs w:val="false"/>
          <w:sz w:val="24"/>
          <w:szCs w:val="24"/>
        </w:rPr>
        <w:t>Aplicația informatică proiectată în Microsoft Access pentru entitatea analizată demonstrează că un instrument de asistare a deciziei financiare performant poate fi implementat cu resurse limitate și fără investiții costisitoare în infrastructură sau în licențe software. Calculul automat al celor 19 indicatori financiari, diagnosticul calitativ generat prin funcțiile IIf imbricate, sistemul de vizualizare semafor și interfața de navigare intuitivă transformă datele contabile brute într-un instrument decizional operațional, utilizabil în timp real.</w:t>
      </w:r>
    </w:p>
    <w:p>
      <w:pPr>
        <w:pStyle w:val="Normal"/>
        <w:spacing w:lineRule="auto" w:line="300" w:before="100" w:after="100"/>
        <w:ind w:firstLine="720"/>
        <w:rPr/>
      </w:pPr>
      <w:r>
        <w:rPr>
          <w:rFonts w:eastAsia="Times New Roman" w:cs="Times New Roman"/>
          <w:b w:val="false"/>
          <w:bCs w:val="false"/>
          <w:sz w:val="24"/>
          <w:szCs w:val="24"/>
        </w:rPr>
        <w:t>Avantajele principale ale soluției propuse includ: scalabilitatea (un nou exercițiu financiar necesită exclusiv adăugarea unui rând în tabelul de date), portabilitatea (fișierul .accdb rulează pe orice stație cu Microsoft Office), mentenabilitatea redusă (formulele nu necesită modificare la actualizarea datelor) și accesibilitatea pentru utilizatori non-tehnici prin interfața Switchboard. Riscul de eroare de calcul este eliminat prin automatizarea completă a procesului de derivare a indicatorilor din datele brute.</w:t>
      </w:r>
    </w:p>
    <w:p>
      <w:pPr>
        <w:pStyle w:val="Normal"/>
        <w:spacing w:lineRule="auto" w:line="300" w:before="100" w:after="100"/>
        <w:ind w:firstLine="720"/>
        <w:rPr/>
      </w:pPr>
      <w:r>
        <w:rPr>
          <w:rFonts w:eastAsia="Times New Roman" w:cs="Times New Roman"/>
          <w:b w:val="false"/>
          <w:bCs w:val="false"/>
          <w:sz w:val="24"/>
          <w:szCs w:val="24"/>
        </w:rPr>
        <w:t>Limitele soluției sunt reprezentate de absența colaborativității (un singur utilizator activ simultan), de lipsa integrării automate cu sursele de date contabile și de capacitățile grafice mai limitate față de platformele dedicate de business intelligence. Pe termen mediu, o migrare a aplicației către Microsoft Power BI, conectat la un fișier Excel structurat sau la un server SQL, ar depăși aceste limitări, menținând în același timp logica de calcul și diagnosticul calitativ proiectate în această etapă.</w:t>
      </w:r>
    </w:p>
    <w:p>
      <w:pPr>
        <w:pStyle w:val="Normal"/>
        <w:spacing w:before="60" w:after="60"/>
        <w:rPr/>
      </w:pPr>
      <w:r>
        <w:rPr/>
      </w:r>
    </w:p>
    <w:p>
      <w:pPr>
        <w:pStyle w:val="Normal"/>
        <w:rPr/>
      </w:pPr>
      <w:r>
        <w:rPr/>
      </w:r>
      <w:r>
        <w:br w:type="page"/>
      </w:r>
    </w:p>
    <w:p>
      <w:pPr>
        <w:pStyle w:val="Heading1"/>
        <w:spacing w:before="0" w:after="260"/>
        <w:jc w:val="center"/>
        <w:rPr/>
      </w:pPr>
      <w:r>
        <w:rPr>
          <w:rFonts w:eastAsia="Times New Roman" w:cs="Times New Roman" w:ascii="Times New Roman" w:hAnsi="Times New Roman"/>
          <w:b/>
          <w:bCs/>
          <w:caps/>
          <w:sz w:val="28"/>
          <w:szCs w:val="28"/>
        </w:rPr>
        <w:t>CONCLUZII ȘI PROPUNERI</w:t>
      </w:r>
    </w:p>
    <w:p>
      <w:pPr>
        <w:pStyle w:val="Normal"/>
        <w:spacing w:before="60" w:after="60"/>
        <w:rPr/>
      </w:pPr>
      <w:r>
        <w:rPr/>
      </w:r>
    </w:p>
    <w:p>
      <w:pPr>
        <w:pStyle w:val="Heading2"/>
        <w:spacing w:before="280" w:after="160"/>
        <w:jc w:val="start"/>
        <w:rPr/>
      </w:pPr>
      <w:r>
        <w:rPr>
          <w:rFonts w:eastAsia="Times New Roman" w:cs="Times New Roman" w:ascii="Times New Roman" w:hAnsi="Times New Roman"/>
          <w:b/>
          <w:bCs/>
          <w:sz w:val="26"/>
          <w:szCs w:val="26"/>
        </w:rPr>
        <w:t>Concluzii</w:t>
      </w:r>
    </w:p>
    <w:p>
      <w:pPr>
        <w:pStyle w:val="Normal"/>
        <w:spacing w:lineRule="auto" w:line="300" w:before="100" w:after="100"/>
        <w:ind w:firstLine="720"/>
        <w:rPr/>
      </w:pPr>
      <w:r>
        <w:rPr>
          <w:rFonts w:eastAsia="Times New Roman" w:cs="Times New Roman"/>
          <w:b w:val="false"/>
          <w:bCs w:val="false"/>
          <w:sz w:val="24"/>
          <w:szCs w:val="24"/>
        </w:rPr>
        <w:t>Lucrarea de față a urmărit dublu scop: realizarea unui diagnostic economico-financiar complet al entității analizate, pe baza situațiilor financiare oficiale aferente exercițiilor 2024 și 2025, și propunerea unui sistem informatic de automatizare a acestui diagnostic, implementat în Microsoft Access.</w:t>
      </w:r>
    </w:p>
    <w:p>
      <w:pPr>
        <w:pStyle w:val="Normal"/>
        <w:spacing w:lineRule="auto" w:line="300" w:before="100" w:after="100"/>
        <w:ind w:firstLine="720"/>
        <w:rPr/>
      </w:pPr>
      <w:r>
        <w:rPr>
          <w:rFonts w:eastAsia="Times New Roman" w:cs="Times New Roman"/>
          <w:b w:val="false"/>
          <w:bCs w:val="false"/>
          <w:sz w:val="24"/>
          <w:szCs w:val="24"/>
        </w:rPr>
        <w:t>Din perspectiva performanței financiare, exercițiul 2025 marchează o redresare autentică și susținută față de 2024. Cifra de afaceri netă a crescut cu 17,85%, atingând 2.543.426 lei, în timp ce totalul cheltuielilor a crescut cu un ritm inferior (+9,67%), permițând generarea unui profit net de 81.854 lei, față de o pierdere de 42.711 lei în 2024. Toți indicatorii de rentabilitate au trecut din teritoriul negativ în cel pozitiv: rata rentabilității comerciale a urcat la 3,22%, rata rentabilității financiare la 13,55%, iar marja netă la 3,08%. Rata cheltuielilor de exploatare a coborât sub pragul critic de 100%, intrând în zona profitabilității operaționale.</w:t>
      </w:r>
    </w:p>
    <w:p>
      <w:pPr>
        <w:pStyle w:val="Normal"/>
        <w:spacing w:lineRule="auto" w:line="300" w:before="100" w:after="100"/>
        <w:ind w:firstLine="720"/>
        <w:rPr/>
      </w:pPr>
      <w:r>
        <w:rPr>
          <w:rFonts w:eastAsia="Times New Roman" w:cs="Times New Roman"/>
          <w:b w:val="false"/>
          <w:bCs w:val="false"/>
          <w:sz w:val="24"/>
          <w:szCs w:val="24"/>
        </w:rPr>
        <w:t>Indicatorii de solvabilitate și de structură financiară confirmă o poziție solidă la nivel structural: solvabilitatea generală de 171,6% arată că activele acoperă datoriile totale de 1,7 ori; gradul de îndatorare a scăzut la 58,3%; autonomia financiară a crescut la 41,7%; datoriile pe termen lung s-au redus cu 42,75%. Indicatorii de gestiune a creanțelor sunt excepționali – durata de încasare de numai 3 zile confirmă o politică riguroasă de colectare a sumelor de la clienți.</w:t>
      </w:r>
    </w:p>
    <w:p>
      <w:pPr>
        <w:pStyle w:val="Normal"/>
        <w:spacing w:lineRule="auto" w:line="300" w:before="100" w:after="100"/>
        <w:ind w:firstLine="720"/>
        <w:rPr/>
      </w:pPr>
      <w:r>
        <w:rPr>
          <w:rFonts w:eastAsia="Times New Roman" w:cs="Times New Roman"/>
          <w:b w:val="false"/>
          <w:bCs w:val="false"/>
          <w:sz w:val="24"/>
          <w:szCs w:val="24"/>
        </w:rPr>
        <w:t>Principala vulnerabilitate rămâne lichiditatea imediată și pe termen scurt: lichiditatea curentă (0,153), rapidă (0,064) și imediată (0,036) se situează mult sub minimele recomandate, reflectând dezechilibrul structural dintre active circulante reduse și datorii curente mari. Fondul de rulment negativ (–645.272 lei) confirme că finanțarea activelor imobilizate depășește capacitatea capitalurilor permanente disponibile.</w:t>
      </w:r>
    </w:p>
    <w:p>
      <w:pPr>
        <w:pStyle w:val="Normal"/>
        <w:spacing w:lineRule="auto" w:line="300" w:before="100" w:after="100"/>
        <w:ind w:firstLine="720"/>
        <w:rPr/>
      </w:pPr>
      <w:r>
        <w:rPr>
          <w:rFonts w:eastAsia="Times New Roman" w:cs="Times New Roman"/>
          <w:b w:val="false"/>
          <w:bCs w:val="false"/>
          <w:sz w:val="24"/>
          <w:szCs w:val="24"/>
        </w:rPr>
        <w:t>Sistemul informatic proiectat în Capitolul 4 demonstrează viabilitatea practică a automatizării diagnosticului financiar la nivel de entitate mică sau medie. Cele 19 calificative de performanță generate automat – 3 OPTIM, 11 ACCEPTABIL și 5 DEFICITAR – furnizează o imagine sintetică și rapidă a situației financiare, eliminând subiectivismul și riscul de eroare al analizei manuale.</w:t>
      </w:r>
    </w:p>
    <w:p>
      <w:pPr>
        <w:pStyle w:val="Normal"/>
        <w:spacing w:before="60" w:after="60"/>
        <w:rPr/>
      </w:pPr>
      <w:r>
        <w:rPr/>
      </w:r>
    </w:p>
    <w:p>
      <w:pPr>
        <w:pStyle w:val="Heading2"/>
        <w:spacing w:before="280" w:after="160"/>
        <w:jc w:val="start"/>
        <w:rPr/>
      </w:pPr>
      <w:r>
        <w:rPr>
          <w:rFonts w:eastAsia="Times New Roman" w:cs="Times New Roman" w:ascii="Times New Roman" w:hAnsi="Times New Roman"/>
          <w:b/>
          <w:bCs/>
          <w:sz w:val="26"/>
          <w:szCs w:val="26"/>
        </w:rPr>
        <w:t>Propuneri și recomandări</w:t>
      </w:r>
    </w:p>
    <w:p>
      <w:pPr>
        <w:pStyle w:val="Normal"/>
        <w:spacing w:lineRule="auto" w:line="300" w:before="100" w:after="100"/>
        <w:ind w:firstLine="720"/>
        <w:rPr/>
      </w:pPr>
      <w:r>
        <w:rPr>
          <w:rFonts w:eastAsia="Times New Roman" w:cs="Times New Roman"/>
          <w:b w:val="false"/>
          <w:bCs w:val="false"/>
          <w:sz w:val="24"/>
          <w:szCs w:val="24"/>
        </w:rPr>
        <w:t>1. Consolidarea lichidității pe termen scurt. Lichiditatea curentă sub 0,2 reprezintă principalul risc identificat. Se recomandă refinanțarea unei cote din datoriile curente prin credite pe termen mediu, reducând astfel presiunea imediată. Alternativ, negocierea unor termene de plată mai lungi cu principalii furnizori și creșterea disponibilităților prin politici de plată anticipată din partea clienților ar contribui la ameliorarea rapidă a acestui indicator.</w:t>
      </w:r>
    </w:p>
    <w:p>
      <w:pPr>
        <w:pStyle w:val="Normal"/>
        <w:spacing w:lineRule="auto" w:line="300" w:before="100" w:after="100"/>
        <w:ind w:firstLine="720"/>
        <w:rPr/>
      </w:pPr>
      <w:r>
        <w:rPr>
          <w:rFonts w:eastAsia="Times New Roman" w:cs="Times New Roman"/>
          <w:b w:val="false"/>
          <w:bCs w:val="false"/>
          <w:sz w:val="24"/>
          <w:szCs w:val="24"/>
        </w:rPr>
        <w:t>2. Reducerea accelerată a fondului de rulment negativ. Fondul de rulment negativ de –645.272 lei impune atragerea de finanțare pe termen lung (credite bancare, linii de credit revolving) pentru a echilibra structura de finanțare a activelor imobilizate. Orice plan de investiții în active fixe trebuie corelat cu o sursă de finanțare pe termen lung, pentru a nu adânci dezechilibrul structural.</w:t>
      </w:r>
    </w:p>
    <w:p>
      <w:pPr>
        <w:pStyle w:val="Normal"/>
        <w:spacing w:lineRule="auto" w:line="300" w:before="100" w:after="100"/>
        <w:ind w:firstLine="720"/>
        <w:rPr/>
      </w:pPr>
      <w:r>
        <w:rPr>
          <w:rFonts w:eastAsia="Times New Roman" w:cs="Times New Roman"/>
          <w:b w:val="false"/>
          <w:bCs w:val="false"/>
          <w:sz w:val="24"/>
          <w:szCs w:val="24"/>
        </w:rPr>
        <w:t>3. Controlul cheltuielilor cu personalul. Creșterea de 21,10% a cheltuielilor salariale – superioară ritmului de creștere al cifrei de afaceri – necesită o politică salarială corelată cu evoluția productivității. Se recomandă implementarea unui sistem de evaluare a performanței individuale legat de indicatori de vânzări și de eficiență operațională.</w:t>
      </w:r>
    </w:p>
    <w:p>
      <w:pPr>
        <w:pStyle w:val="Normal"/>
        <w:spacing w:lineRule="auto" w:line="300" w:before="100" w:after="100"/>
        <w:ind w:firstLine="720"/>
        <w:rPr/>
      </w:pPr>
      <w:r>
        <w:rPr>
          <w:rFonts w:eastAsia="Times New Roman" w:cs="Times New Roman"/>
          <w:b w:val="false"/>
          <w:bCs w:val="false"/>
          <w:sz w:val="24"/>
          <w:szCs w:val="24"/>
        </w:rPr>
        <w:t>4. Gestionarea stocurilor. Creșterea soldului stocurilor cu 84,53% a dus la deteriorarea vitezei de rotație. Se recomandă revizuirea politicii de aprovizionare, adoptarea unui sistem de gestiune a stocurilor bazat pe principiul just-in-time și reducerea nivelului minim de stoc de siguranță la cel strict necesar continuității activității.</w:t>
      </w:r>
    </w:p>
    <w:p>
      <w:pPr>
        <w:pStyle w:val="Normal"/>
        <w:spacing w:lineRule="auto" w:line="300" w:before="100" w:after="100"/>
        <w:ind w:firstLine="720"/>
        <w:rPr/>
      </w:pPr>
      <w:r>
        <w:rPr>
          <w:rFonts w:eastAsia="Times New Roman" w:cs="Times New Roman"/>
          <w:b w:val="false"/>
          <w:bCs w:val="false"/>
          <w:sz w:val="24"/>
          <w:szCs w:val="24"/>
        </w:rPr>
        <w:t>5. Extinderea și actualizarea sistemului informatic. Aplicația Access poate fi îmbunătățită cu module de bugetare (comparare realizat vs. plan), de analiză a cash-flow-ului previzional și de raportare trimestrială automată. Pe termen mediu, migrarea către Microsoft Power BI ar adăuga capabilități colaborative și grafice avansate, fără a modifica logica de calcul proiectată.</w:t>
      </w:r>
    </w:p>
    <w:p>
      <w:pPr>
        <w:pStyle w:val="Normal"/>
        <w:spacing w:lineRule="auto" w:line="300" w:before="100" w:after="100"/>
        <w:ind w:firstLine="720"/>
        <w:rPr/>
      </w:pPr>
      <w:r>
        <w:rPr>
          <w:rFonts w:eastAsia="Times New Roman" w:cs="Times New Roman"/>
          <w:b w:val="false"/>
          <w:bCs w:val="false"/>
          <w:sz w:val="24"/>
          <w:szCs w:val="24"/>
        </w:rPr>
        <w:t>6. Monitorizare trimestrială prin tabloul de bord. Actualizarea trimestrială a datelor din aplicația informatică și interpretarea sistematică a diagnosticelor generate ar permite detectarea timpurie a deteriorărilor și intervenția corectivă înainte ca acestea să se consolideze. Raportul de sinteză (Dashboard) este instrumentul ideal pentru ședințele de management trimestrial.</w:t>
      </w:r>
    </w:p>
    <w:p>
      <w:pPr>
        <w:pStyle w:val="Normal"/>
        <w:spacing w:before="60" w:after="60"/>
        <w:rPr/>
      </w:pPr>
      <w:r>
        <w:rPr/>
      </w:r>
    </w:p>
    <w:p>
      <w:pPr>
        <w:pStyle w:val="Normal"/>
        <w:spacing w:lineRule="auto" w:line="300" w:before="100" w:after="100"/>
        <w:ind w:firstLine="720"/>
        <w:rPr/>
      </w:pPr>
      <w:r>
        <w:rPr>
          <w:rFonts w:eastAsia="Times New Roman" w:cs="Times New Roman"/>
          <w:b w:val="false"/>
          <w:bCs w:val="false"/>
          <w:sz w:val="24"/>
          <w:szCs w:val="24"/>
        </w:rPr>
        <w:t>În ansamblu, entitatea analizată se află la debutul unui parcurs de redresare economică reală, cu o performanță operațională în creștere și cu o bază financiară care se consolidează gradual. Consolidarea acestui parcurs depinde de abordarea structurată a vulnerabilităților de lichiditate și de valorificarea instrumentelor informatice disponibile ca suport decizional continuu.</w:t>
      </w:r>
    </w:p>
    <w:sectPr>
      <w:footerReference w:type="even" r:id="rId2"/>
      <w:footerReference w:type="default" r:id="rId3"/>
      <w:footerReference w:type="first" r:id="rId4"/>
      <w:type w:val="nextPage"/>
      <w:pgSz w:w="11906" w:h="16838"/>
      <w:pgMar w:left="1701" w:right="1134" w:gutter="0" w:header="0" w:top="1418" w:footer="708"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Times New Roman">
    <w:charset w:val="01" w:characterSet="utf-8"/>
    <w:family w:val="roman"/>
    <w:pitch w:val="variable"/>
  </w:font>
  <w:font w:name="Times New Roman">
    <w:charset w:val="01" w:characterSet="utf-8"/>
    <w:family w:val="swiss"/>
    <w:pitch w:val="variable"/>
  </w:font>
  <w:font w:name="Liberation Sans">
    <w:altName w:val="Arial"/>
    <w:charset w:val="01" w:characterSet="utf-8"/>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rPr>
        <w:rFonts w:eastAsia="Times New Roman" w:cs="Times New Roman"/>
        <w:b w:val="false"/>
        <w:bCs w:val="false"/>
        <w:sz w:val="24"/>
        <w:szCs w:val="24"/>
      </w:rPr>
      <w:fldChar w:fldCharType="begin"/>
    </w:r>
    <w:r>
      <w:rPr>
        <w:rFonts w:eastAsia="Times New Roman" w:cs="Times New Roman"/>
        <w:b w:val="false"/>
        <w:bCs w:val="false"/>
        <w:sz w:val="24"/>
        <w:szCs w:val="24"/>
      </w:rPr>
      <w:instrText xml:space="preserve"> PAGE </w:instrText>
    </w:r>
    <w:r>
      <w:rPr>
        <w:rFonts w:eastAsia="Times New Roman" w:cs="Times New Roman"/>
        <w:b w:val="false"/>
        <w:bCs w:val="false"/>
        <w:sz w:val="24"/>
        <w:szCs w:val="24"/>
      </w:rPr>
      <w:fldChar w:fldCharType="separate"/>
    </w:r>
    <w:r>
      <w:rPr>
        <w:rFonts w:eastAsia="Times New Roman" w:cs="Times New Roman"/>
        <w:b w:val="false"/>
        <w:bCs w:val="false"/>
        <w:sz w:val="24"/>
        <w:szCs w:val="24"/>
      </w:rPr>
      <w:t>13</w:t>
    </w:r>
    <w:r>
      <w:rPr>
        <w:rFonts w:eastAsia="Times New Roman" w:cs="Times New Roman"/>
        <w:b w:val="false"/>
        <w:bCs w:val="false"/>
        <w:sz w:val="24"/>
        <w:szCs w:val="24"/>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rPr>
        <w:rFonts w:eastAsia="Times New Roman" w:cs="Times New Roman"/>
        <w:b w:val="false"/>
        <w:bCs w:val="false"/>
        <w:sz w:val="24"/>
        <w:szCs w:val="24"/>
      </w:rPr>
      <w:fldChar w:fldCharType="begin"/>
    </w:r>
    <w:r>
      <w:rPr>
        <w:rFonts w:eastAsia="Times New Roman" w:cs="Times New Roman"/>
        <w:b w:val="false"/>
        <w:bCs w:val="false"/>
        <w:sz w:val="24"/>
        <w:szCs w:val="24"/>
      </w:rPr>
      <w:instrText xml:space="preserve"> PAGE </w:instrText>
    </w:r>
    <w:r>
      <w:rPr>
        <w:rFonts w:eastAsia="Times New Roman" w:cs="Times New Roman"/>
        <w:b w:val="false"/>
        <w:bCs w:val="false"/>
        <w:sz w:val="24"/>
        <w:szCs w:val="24"/>
      </w:rPr>
      <w:fldChar w:fldCharType="separate"/>
    </w:r>
    <w:r>
      <w:rPr>
        <w:rFonts w:eastAsia="Times New Roman" w:cs="Times New Roman"/>
        <w:b w:val="false"/>
        <w:bCs w:val="false"/>
        <w:sz w:val="24"/>
        <w:szCs w:val="24"/>
      </w:rPr>
      <w:t>13</w:t>
    </w:r>
    <w:r>
      <w:rPr>
        <w:rFonts w:eastAsia="Times New Roman" w:cs="Times New Roman"/>
        <w:b w:val="false"/>
        <w:bCs w:val="false"/>
        <w:sz w:val="24"/>
        <w:szCs w:val="24"/>
      </w:rPr>
      <w:fldChar w:fldCharType="end"/>
    </w:r>
  </w:p>
</w:ftr>
</file>

<file path=word/settings.xml><?xml version="1.0" encoding="utf-8"?>
<w:settings xmlns:w="http://schemas.openxmlformats.org/wordprocessingml/2006/main">
  <w:zoom w:percent="100"/>
  <w:defaultTabStop w:val="720"/>
  <w:autoHyphenation w:val="true"/>
  <w:hyphenationZone w:val="0"/>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4"/>
        <w:szCs w:val="24"/>
        <w:lang w:val="en-US" w:eastAsia="zh-CN" w:bidi="hi-IN"/>
      </w:rPr>
    </w:rPrDefault>
    <w:pPrDefault>
      <w:pPr>
        <w:suppressAutoHyphens w:val="true"/>
      </w:pPr>
    </w:pPrDefault>
  </w:docDefaults>
  <w:style w:type="paragraph" w:styleId="Normal">
    <w:name w:val="Normal"/>
    <w:qFormat/>
    <w:pPr>
      <w:widowControl/>
      <w:bidi w:val="0"/>
      <w:spacing w:before="0" w:after="0"/>
      <w:jc w:val="start"/>
    </w:pPr>
    <w:rPr>
      <w:rFonts w:ascii="Times New Roman" w:hAnsi="Times New Roman" w:eastAsia="Times New Roman" w:cs="Times New Roman"/>
      <w:color w:val="auto"/>
      <w:kern w:val="0"/>
      <w:sz w:val="24"/>
      <w:szCs w:val="24"/>
      <w:lang w:val="en-US" w:eastAsia="zh-CN" w:bidi="hi-IN"/>
    </w:rPr>
  </w:style>
  <w:style w:type="paragraph" w:styleId="Heading1">
    <w:name w:val="heading 1"/>
    <w:basedOn w:val="Heading"/>
    <w:qFormat/>
    <w:pPr>
      <w:spacing w:before="400" w:after="260"/>
      <w:outlineLvl w:val="0"/>
    </w:pPr>
    <w:rPr>
      <w:rFonts w:ascii="Times New Roman" w:hAnsi="Times New Roman" w:eastAsia="Times New Roman" w:cs="Times New Roman"/>
      <w:b/>
      <w:bCs/>
      <w:sz w:val="28"/>
      <w:szCs w:val="28"/>
    </w:rPr>
  </w:style>
  <w:style w:type="paragraph" w:styleId="Heading2">
    <w:name w:val="heading 2"/>
    <w:basedOn w:val="Heading"/>
    <w:qFormat/>
    <w:pPr>
      <w:spacing w:before="280" w:after="160"/>
      <w:outlineLvl w:val="1"/>
    </w:pPr>
    <w:rPr>
      <w:rFonts w:ascii="Times New Roman" w:hAnsi="Times New Roman" w:eastAsia="Times New Roman" w:cs="Times New Roman"/>
      <w:b/>
      <w:bCs/>
      <w:sz w:val="26"/>
      <w:szCs w:val="26"/>
    </w:rPr>
  </w:style>
  <w:style w:type="paragraph" w:styleId="Heading3">
    <w:name w:val="heading 3"/>
    <w:basedOn w:val="Heading"/>
    <w:qFormat/>
    <w:pPr>
      <w:spacing w:before="220" w:after="120"/>
      <w:outlineLvl w:val="2"/>
    </w:pPr>
    <w:rPr>
      <w:rFonts w:ascii="Times New Roman" w:hAnsi="Times New Roman" w:eastAsia="Times New Roman" w:cs="Times New Roman"/>
      <w:b/>
      <w:bCs/>
      <w:sz w:val="24"/>
      <w:szCs w:val="24"/>
    </w:rPr>
  </w:style>
  <w:style w:type="paragraph" w:styleId="Heading4">
    <w:name w:val="heading 4"/>
    <w:basedOn w:val="Heading"/>
    <w:qFormat/>
    <w:pPr/>
    <w:rPr>
      <w:i/>
      <w:iCs/>
      <w:color w:val="2E74B5"/>
    </w:rPr>
  </w:style>
  <w:style w:type="paragraph" w:styleId="Heading5">
    <w:name w:val="heading 5"/>
    <w:basedOn w:val="Heading"/>
    <w:qFormat/>
    <w:pPr/>
    <w:rPr>
      <w:color w:val="2E74B5"/>
    </w:rPr>
  </w:style>
  <w:style w:type="paragraph" w:styleId="Heading6">
    <w:name w:val="heading 6"/>
    <w:basedOn w:val="Heading"/>
    <w:qFormat/>
    <w:pPr/>
    <w:rPr>
      <w:color w:val="1F4D78"/>
    </w:rPr>
  </w:style>
  <w:style w:type="character" w:styleId="Hyperlink">
    <w:name w:val="Hyperlink"/>
    <w:uiPriority w:val="99"/>
    <w:unhideWhenUsed/>
    <w:rPr>
      <w:color w:val="0563C1"/>
      <w:u w:val="single"/>
    </w:rPr>
  </w:style>
  <w:style w:type="character" w:styleId="FootnoteCharacters">
    <w:name w:val="Footnote Characters"/>
    <w:uiPriority w:val="99"/>
    <w:semiHidden/>
    <w:unhideWhenUsed/>
    <w:rPr>
      <w:vertAlign w:val="superscript"/>
    </w:rPr>
  </w:style>
  <w:style w:type="character" w:styleId="FootnoteReference">
    <w:name w:val="footnote reference"/>
    <w:rPr>
      <w:vertAlign w:val="superscript"/>
    </w:rPr>
  </w:style>
  <w:style w:type="character" w:styleId="FootnoteTextChar">
    <w:name w:val="Footnote Text Char"/>
    <w:link w:val="FootnoteText"/>
    <w:uiPriority w:val="99"/>
    <w:semiHidden/>
    <w:unhideWhenUsed/>
    <w:rPr>
      <w:sz w:val="20"/>
      <w:szCs w:val="20"/>
    </w:rPr>
  </w:style>
  <w:style w:type="character" w:styleId="EndnoteCharacters">
    <w:name w:val="Endnote Characters"/>
    <w:uiPriority w:val="99"/>
    <w:semiHidden/>
    <w:unhideWhenUsed/>
    <w:rPr>
      <w:vertAlign w:val="superscript"/>
    </w:rPr>
  </w:style>
  <w:style w:type="character" w:styleId="EndnoteReference">
    <w:name w:val="endnote reference"/>
    <w:rPr>
      <w:vertAlign w:val="superscript"/>
    </w:rPr>
  </w:style>
  <w:style w:type="character" w:styleId="EndnoteTextChar">
    <w:name w:val="Endnote Text Char"/>
    <w:link w:val="EndnoteText"/>
    <w:uiPriority w:val="99"/>
    <w:semiHidden/>
    <w:unhideWhenUsed/>
    <w:rPr>
      <w:sz w:val="20"/>
      <w:szCs w:val="20"/>
    </w:rPr>
  </w:style>
  <w:style w:type="paragraph" w:styleId="Heading">
    <w:name w:val="Heading"/>
    <w:basedOn w:val="Normal"/>
    <w:next w:val="BodyText"/>
    <w:qFormat/>
    <w:pPr>
      <w:keepNext w:val="true"/>
      <w:spacing w:before="240" w:after="120"/>
    </w:pPr>
    <w:rPr>
      <w:rFonts w:ascii="Liberation Sans" w:hAnsi="Liberation Sans" w:eastAsia="Noto Sans CJK SC" w:cs="Noto Serif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Noto Serif Devanagari"/>
    </w:rPr>
  </w:style>
  <w:style w:type="paragraph" w:styleId="Caption">
    <w:name w:val="caption"/>
    <w:basedOn w:val="Normal"/>
    <w:qFormat/>
    <w:pPr>
      <w:suppressLineNumbers/>
      <w:spacing w:before="120" w:after="120"/>
    </w:pPr>
    <w:rPr>
      <w:rFonts w:cs="Noto Serif Devanagari"/>
      <w:i/>
      <w:iCs/>
      <w:sz w:val="24"/>
      <w:szCs w:val="24"/>
    </w:rPr>
  </w:style>
  <w:style w:type="paragraph" w:styleId="Index">
    <w:name w:val="Index"/>
    <w:basedOn w:val="Normal"/>
    <w:qFormat/>
    <w:pPr>
      <w:suppressLineNumbers/>
    </w:pPr>
    <w:rPr>
      <w:rFonts w:cs="Noto Serif Devanagari"/>
    </w:rPr>
  </w:style>
  <w:style w:type="paragraph" w:styleId="Title">
    <w:name w:val="Title"/>
    <w:basedOn w:val="Heading"/>
    <w:qFormat/>
    <w:pPr/>
    <w:rPr>
      <w:sz w:val="56"/>
      <w:szCs w:val="56"/>
    </w:rPr>
  </w:style>
  <w:style w:type="paragraph" w:styleId="StrongEmphasis">
    <w:name w:val="Strong Emphasis"/>
    <w:qFormat/>
    <w:pPr>
      <w:widowControl/>
      <w:bidi w:val="0"/>
      <w:spacing w:before="0" w:after="0"/>
      <w:jc w:val="start"/>
    </w:pPr>
    <w:rPr>
      <w:rFonts w:ascii="Times New Roman" w:hAnsi="Times New Roman" w:eastAsia="Times New Roman" w:cs="Times New Roman"/>
      <w:b/>
      <w:bCs/>
      <w:color w:val="auto"/>
      <w:kern w:val="0"/>
      <w:sz w:val="24"/>
      <w:szCs w:val="24"/>
      <w:lang w:val="en-US" w:eastAsia="zh-CN" w:bidi="hi-IN"/>
    </w:rPr>
  </w:style>
  <w:style w:type="paragraph" w:styleId="ListParagraph">
    <w:name w:val="List Paragraph"/>
    <w:qFormat/>
    <w:pPr>
      <w:widowControl/>
      <w:bidi w:val="0"/>
      <w:spacing w:before="0" w:after="0"/>
      <w:jc w:val="start"/>
    </w:pPr>
    <w:rPr>
      <w:rFonts w:ascii="Times New Roman" w:hAnsi="Times New Roman" w:eastAsia="Times New Roman" w:cs="Times New Roman"/>
      <w:color w:val="auto"/>
      <w:kern w:val="0"/>
      <w:sz w:val="24"/>
      <w:szCs w:val="24"/>
      <w:lang w:val="en-US" w:eastAsia="zh-CN" w:bidi="hi-IN"/>
    </w:rPr>
  </w:style>
  <w:style w:type="paragraph" w:styleId="FootnoteText">
    <w:name w:val="footnote text"/>
    <w:basedOn w:val="Normal"/>
    <w:link w:val="FootnoteTextChar"/>
    <w:uiPriority w:val="99"/>
    <w:semiHidden/>
    <w:unhideWhenUsed/>
    <w:pPr>
      <w:spacing w:lineRule="auto" w:line="240" w:before="0" w:after="0"/>
    </w:pPr>
    <w:rPr>
      <w:sz w:val="20"/>
      <w:szCs w:val="20"/>
    </w:rPr>
  </w:style>
  <w:style w:type="paragraph" w:styleId="EndnoteText">
    <w:name w:val="endnote text"/>
    <w:basedOn w:val="Normal"/>
    <w:link w:val="EndnoteTextChar"/>
    <w:uiPriority w:val="99"/>
    <w:semiHidden/>
    <w:unhideWhenUsed/>
    <w:pPr>
      <w:spacing w:lineRule="auto" w:line="240" w:before="0" w:after="0"/>
    </w:pPr>
    <w:rPr>
      <w:sz w:val="20"/>
      <w:szCs w:val="20"/>
    </w:rPr>
  </w:style>
  <w:style w:type="paragraph" w:styleId="HeaderandFooter">
    <w:name w:val="Header and Footer"/>
    <w:basedOn w:val="Normal"/>
    <w:qFormat/>
    <w:pPr/>
    <w:rPr/>
  </w:style>
  <w:style w:type="paragraph" w:styleId="Footer">
    <w:name w:val="footer"/>
    <w:basedOn w:val="HeaderandFooter"/>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0</TotalTime>
  <Application>Collabora_Office/25.04.9.1$Android_ARM_EABI LibreOffice_project/d866e5900658</Application>
  <AppVersion>15.0000</AppVersion>
  <Pages>28</Pages>
  <Words>7852</Words>
  <Characters>50828</Characters>
  <CharactersWithSpaces>57661</CharactersWithSpaces>
  <Paragraphs>1169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2026-06-16T09:14:58Z</dcterms:created>
  <dc:creator>Un-named</dc:creator>
  <dc:description/>
  <dc:language>en-US</dc:language>
  <cp:lastModifiedBy>Un-named</cp:lastModifiedBy>
  <dcterms:modified xsi:type="dcterms:W3CDTF">2026-06-16T09:14:58Z</dcterms:modified>
  <cp:revision>1</cp:revision>
  <dc:subject/>
  <dc:title/>
</cp:coreProperties>
</file>